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A337D80">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5250" w:leftChars="2500" w:firstLine="0" w:firstLineChars="0"/>
        <w:jc w:val="both"/>
        <w:textAlignment w:val="baseline"/>
        <w:rPr>
          <w:rFonts w:hint="default" w:ascii="Times New Roman" w:hAnsi="Times New Roman" w:eastAsia="仿宋" w:cs="Times New Roman"/>
          <w:sz w:val="28"/>
          <w:szCs w:val="28"/>
        </w:rPr>
      </w:pPr>
      <w:bookmarkStart w:id="86" w:name="_GoBack"/>
      <w:bookmarkEnd w:id="86"/>
      <w:r>
        <w:rPr>
          <w:rFonts w:hint="default" w:ascii="Times New Roman" w:hAnsi="Times New Roman" w:eastAsia="仿宋" w:cs="Times New Roman"/>
          <w:sz w:val="28"/>
          <w:szCs w:val="28"/>
        </w:rPr>
        <w:t>预案编号：</w:t>
      </w:r>
    </w:p>
    <w:p w14:paraId="1965FD9C">
      <w:pPr>
        <w:pStyle w:val="11"/>
        <w:keepNext w:val="0"/>
        <w:keepLines w:val="0"/>
        <w:pageBreakBefore w:val="0"/>
        <w:widowControl/>
        <w:kinsoku w:val="0"/>
        <w:wordWrap/>
        <w:overflowPunct/>
        <w:topLinePunct w:val="0"/>
        <w:autoSpaceDE w:val="0"/>
        <w:autoSpaceDN w:val="0"/>
        <w:bidi w:val="0"/>
        <w:adjustRightInd w:val="0"/>
        <w:snapToGrid w:val="0"/>
        <w:spacing w:line="360" w:lineRule="auto"/>
        <w:ind w:left="5250" w:leftChars="2500" w:firstLine="0" w:firstLineChars="0"/>
        <w:jc w:val="both"/>
        <w:textAlignment w:val="baseline"/>
        <w:rPr>
          <w:rFonts w:hint="default" w:ascii="Times New Roman" w:hAnsi="Times New Roman" w:eastAsia="仿宋" w:cs="Times New Roman"/>
          <w:sz w:val="28"/>
          <w:szCs w:val="28"/>
          <w:lang w:eastAsia="zh-CN"/>
        </w:rPr>
      </w:pPr>
      <w:r>
        <w:rPr>
          <w:rFonts w:hint="default" w:ascii="Times New Roman" w:hAnsi="Times New Roman" w:eastAsia="仿宋" w:cs="Times New Roman"/>
          <w:sz w:val="28"/>
          <w:szCs w:val="28"/>
        </w:rPr>
        <w:t>预案修订版本号：001-202</w:t>
      </w:r>
      <w:r>
        <w:rPr>
          <w:rFonts w:hint="default" w:ascii="Times New Roman" w:hAnsi="Times New Roman" w:eastAsia="仿宋" w:cs="Times New Roman"/>
          <w:sz w:val="28"/>
          <w:szCs w:val="28"/>
          <w:lang w:val="en-US" w:eastAsia="zh-CN"/>
        </w:rPr>
        <w:t>6</w:t>
      </w:r>
    </w:p>
    <w:p w14:paraId="7006E012">
      <w:pPr>
        <w:keepNext w:val="0"/>
        <w:keepLines w:val="0"/>
        <w:pageBreakBefore w:val="0"/>
        <w:widowControl/>
        <w:kinsoku w:val="0"/>
        <w:wordWrap/>
        <w:overflowPunct/>
        <w:topLinePunct w:val="0"/>
        <w:autoSpaceDE w:val="0"/>
        <w:autoSpaceDN w:val="0"/>
        <w:bidi w:val="0"/>
        <w:adjustRightInd w:val="0"/>
        <w:snapToGrid w:val="0"/>
        <w:spacing w:before="1561" w:beforeLines="500" w:line="360" w:lineRule="auto"/>
        <w:jc w:val="center"/>
        <w:textAlignment w:val="baseline"/>
        <w:rPr>
          <w:rFonts w:hint="eastAsia" w:ascii="仿宋" w:hAnsi="仿宋" w:eastAsia="仿宋" w:cs="仿宋"/>
          <w:b/>
          <w:bCs/>
          <w:sz w:val="44"/>
          <w:szCs w:val="44"/>
        </w:rPr>
      </w:pPr>
      <w:r>
        <w:rPr>
          <w:rFonts w:hint="eastAsia" w:ascii="仿宋" w:hAnsi="仿宋" w:eastAsia="仿宋" w:cs="仿宋"/>
          <w:b/>
          <w:bCs/>
          <w:sz w:val="44"/>
          <w:szCs w:val="44"/>
        </w:rPr>
        <w:t>天津立中轻合金锻造有限公司</w:t>
      </w:r>
    </w:p>
    <w:p w14:paraId="2C843CE9">
      <w:pPr>
        <w:spacing w:line="800" w:lineRule="atLeast"/>
        <w:jc w:val="center"/>
        <w:rPr>
          <w:rFonts w:hint="eastAsia" w:ascii="仿宋" w:hAnsi="仿宋" w:eastAsia="仿宋" w:cs="仿宋"/>
          <w:b/>
          <w:bCs/>
          <w:spacing w:val="-20"/>
          <w:sz w:val="44"/>
          <w:szCs w:val="44"/>
        </w:rPr>
      </w:pPr>
      <w:r>
        <w:rPr>
          <w:rFonts w:hint="eastAsia" w:ascii="仿宋" w:hAnsi="仿宋" w:eastAsia="仿宋" w:cs="仿宋"/>
          <w:b/>
          <w:bCs/>
          <w:sz w:val="44"/>
          <w:szCs w:val="44"/>
        </w:rPr>
        <w:t>突发环境事件应急预案</w:t>
      </w:r>
    </w:p>
    <w:p w14:paraId="03AB093D">
      <w:pPr>
        <w:keepNext w:val="0"/>
        <w:keepLines w:val="0"/>
        <w:pageBreakBefore w:val="0"/>
        <w:widowControl/>
        <w:kinsoku w:val="0"/>
        <w:wordWrap/>
        <w:overflowPunct/>
        <w:topLinePunct w:val="0"/>
        <w:autoSpaceDE w:val="0"/>
        <w:autoSpaceDN w:val="0"/>
        <w:bidi w:val="0"/>
        <w:adjustRightInd w:val="0"/>
        <w:snapToGrid w:val="0"/>
        <w:spacing w:before="5305" w:beforeLines="1700" w:line="360" w:lineRule="auto"/>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天津立中轻合金锻造有限公司</w:t>
      </w:r>
    </w:p>
    <w:p w14:paraId="62AE9F58">
      <w:pPr>
        <w:spacing w:line="800" w:lineRule="atLeast"/>
        <w:jc w:val="center"/>
        <w:rPr>
          <w:rFonts w:hint="eastAsia" w:ascii="仿宋" w:hAnsi="仿宋" w:eastAsia="仿宋" w:cs="仿宋"/>
          <w:b/>
          <w:bCs/>
          <w:sz w:val="32"/>
          <w:szCs w:val="32"/>
        </w:rPr>
        <w:sectPr>
          <w:headerReference r:id="rId5" w:type="default"/>
          <w:pgSz w:w="11850" w:h="16783"/>
          <w:pgMar w:top="1134" w:right="1134" w:bottom="1134" w:left="1134" w:header="851" w:footer="992" w:gutter="0"/>
          <w:cols w:space="720" w:num="1"/>
          <w:docGrid w:type="lines" w:linePitch="312" w:charSpace="0"/>
        </w:sectPr>
      </w:pPr>
      <w:r>
        <w:rPr>
          <w:rFonts w:hint="eastAsia" w:ascii="仿宋" w:hAnsi="仿宋" w:eastAsia="仿宋" w:cs="仿宋"/>
          <w:b/>
          <w:bCs/>
          <w:sz w:val="32"/>
          <w:szCs w:val="32"/>
        </w:rPr>
        <w:t>二零二</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年</w:t>
      </w:r>
      <w:r>
        <w:rPr>
          <w:rFonts w:hint="eastAsia" w:ascii="仿宋" w:hAnsi="仿宋" w:eastAsia="仿宋" w:cs="仿宋"/>
          <w:b/>
          <w:bCs/>
          <w:sz w:val="32"/>
          <w:szCs w:val="32"/>
          <w:lang w:val="en-US" w:eastAsia="zh-CN"/>
        </w:rPr>
        <w:t>六</w:t>
      </w:r>
      <w:r>
        <w:rPr>
          <w:rFonts w:hint="eastAsia" w:ascii="仿宋" w:hAnsi="仿宋" w:eastAsia="仿宋" w:cs="仿宋"/>
          <w:b/>
          <w:bCs/>
          <w:sz w:val="32"/>
          <w:szCs w:val="32"/>
        </w:rPr>
        <w:t>月</w:t>
      </w:r>
    </w:p>
    <w:p w14:paraId="449CD488">
      <w:pPr>
        <w:rPr>
          <w:rFonts w:hint="eastAsia" w:ascii="仿宋" w:hAnsi="仿宋" w:eastAsia="仿宋" w:cs="仿宋"/>
        </w:rPr>
        <w:sectPr>
          <w:headerReference r:id="rId6" w:type="default"/>
          <w:footerReference r:id="rId7" w:type="default"/>
          <w:pgSz w:w="11906" w:h="16838"/>
          <w:pgMar w:top="1134" w:right="1134" w:bottom="1134" w:left="1134" w:header="1506" w:footer="0" w:gutter="0"/>
          <w:cols w:space="720" w:num="1"/>
        </w:sectPr>
      </w:pPr>
    </w:p>
    <w:p w14:paraId="323A4DDA">
      <w:pPr>
        <w:keepNext w:val="0"/>
        <w:keepLines w:val="0"/>
        <w:pageBreakBefore w:val="0"/>
        <w:widowControl/>
        <w:kinsoku w:val="0"/>
        <w:wordWrap/>
        <w:overflowPunct/>
        <w:topLinePunct w:val="0"/>
        <w:autoSpaceDE w:val="0"/>
        <w:autoSpaceDN w:val="0"/>
        <w:bidi w:val="0"/>
        <w:adjustRightInd w:val="0"/>
        <w:snapToGrid w:val="0"/>
        <w:spacing w:before="0" w:beforeLines="200" w:after="0" w:afterLines="200" w:line="360" w:lineRule="auto"/>
        <w:ind w:firstLine="0" w:firstLineChars="0"/>
        <w:jc w:val="center"/>
        <w:textAlignment w:val="baseline"/>
        <w:rPr>
          <w:rFonts w:hint="eastAsia" w:ascii="仿宋" w:hAnsi="仿宋" w:eastAsia="仿宋" w:cs="仿宋"/>
          <w:b/>
          <w:kern w:val="0"/>
          <w:sz w:val="36"/>
          <w:szCs w:val="36"/>
        </w:rPr>
      </w:pPr>
      <w:r>
        <w:rPr>
          <w:rFonts w:hint="eastAsia" w:ascii="仿宋" w:hAnsi="仿宋" w:eastAsia="仿宋" w:cs="仿宋"/>
          <w:b/>
          <w:kern w:val="0"/>
          <w:sz w:val="36"/>
          <w:szCs w:val="36"/>
        </w:rPr>
        <w:t>发布令</w:t>
      </w:r>
    </w:p>
    <w:p w14:paraId="2389724E">
      <w:pPr>
        <w:keepNext w:val="0"/>
        <w:keepLines w:val="0"/>
        <w:pageBreakBefore w:val="0"/>
        <w:widowControl w:val="0"/>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仿宋" w:hAnsi="仿宋" w:eastAsia="仿宋" w:cs="仿宋"/>
          <w:kern w:val="0"/>
          <w:sz w:val="30"/>
          <w:szCs w:val="30"/>
        </w:rPr>
      </w:pPr>
      <w:r>
        <w:rPr>
          <w:rFonts w:hint="eastAsia" w:ascii="仿宋" w:hAnsi="仿宋" w:eastAsia="仿宋" w:cs="仿宋"/>
          <w:kern w:val="0"/>
          <w:sz w:val="30"/>
          <w:szCs w:val="30"/>
        </w:rPr>
        <w:t>依据《中华人民共和国环境保护法》、《中华人民共和国安全生产法》、《中华人民共和国突发事件应对法》等法律法规，特制定下发《天津立中轻合金锻造有限公司突发环境事件应急预案》。</w:t>
      </w:r>
    </w:p>
    <w:p w14:paraId="358D9EFF">
      <w:pPr>
        <w:keepNext w:val="0"/>
        <w:keepLines w:val="0"/>
        <w:pageBreakBefore w:val="0"/>
        <w:widowControl w:val="0"/>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仿宋" w:hAnsi="仿宋" w:eastAsia="仿宋" w:cs="仿宋"/>
          <w:kern w:val="0"/>
          <w:sz w:val="30"/>
          <w:szCs w:val="30"/>
        </w:rPr>
      </w:pPr>
      <w:r>
        <w:rPr>
          <w:rFonts w:hint="eastAsia" w:ascii="仿宋" w:hAnsi="仿宋" w:eastAsia="仿宋" w:cs="仿宋"/>
          <w:kern w:val="0"/>
          <w:sz w:val="30"/>
          <w:szCs w:val="30"/>
        </w:rPr>
        <w:t>公司各部门要严格按照预案中的职责、程序等有关要求，组织培训、演练等工作，坚持事故应急与预防工作相结合，做好预防、预测、预警及应急等工作，认真贯彻实施。</w:t>
      </w:r>
    </w:p>
    <w:p w14:paraId="49D4CDE7">
      <w:pPr>
        <w:keepNext w:val="0"/>
        <w:keepLines w:val="0"/>
        <w:pageBreakBefore w:val="0"/>
        <w:widowControl w:val="0"/>
        <w:kinsoku w:val="0"/>
        <w:wordWrap/>
        <w:overflowPunct/>
        <w:topLinePunct w:val="0"/>
        <w:autoSpaceDE w:val="0"/>
        <w:autoSpaceDN w:val="0"/>
        <w:bidi w:val="0"/>
        <w:adjustRightInd w:val="0"/>
        <w:snapToGrid w:val="0"/>
        <w:spacing w:line="360" w:lineRule="auto"/>
        <w:ind w:firstLine="600" w:firstLineChars="200"/>
        <w:jc w:val="left"/>
        <w:textAlignment w:val="baseline"/>
        <w:rPr>
          <w:rFonts w:hint="eastAsia" w:ascii="仿宋" w:hAnsi="仿宋" w:eastAsia="仿宋" w:cs="仿宋"/>
          <w:kern w:val="0"/>
          <w:sz w:val="30"/>
          <w:szCs w:val="30"/>
        </w:rPr>
      </w:pPr>
      <w:r>
        <w:rPr>
          <w:rFonts w:hint="eastAsia" w:ascii="仿宋" w:hAnsi="仿宋" w:eastAsia="仿宋" w:cs="仿宋"/>
          <w:kern w:val="0"/>
          <w:sz w:val="30"/>
          <w:szCs w:val="30"/>
        </w:rPr>
        <w:t>本预案自发布日起开始实施。</w:t>
      </w:r>
    </w:p>
    <w:p w14:paraId="036AF523">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eastAsia" w:ascii="仿宋" w:hAnsi="仿宋" w:eastAsia="仿宋" w:cs="仿宋"/>
          <w:kern w:val="0"/>
          <w:szCs w:val="28"/>
        </w:rPr>
      </w:pPr>
    </w:p>
    <w:p w14:paraId="013879C9">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eastAsia" w:ascii="仿宋" w:hAnsi="仿宋" w:eastAsia="仿宋" w:cs="仿宋"/>
          <w:kern w:val="0"/>
          <w:szCs w:val="28"/>
        </w:rPr>
      </w:pPr>
    </w:p>
    <w:p w14:paraId="0A1CF917">
      <w:pPr>
        <w:keepNext w:val="0"/>
        <w:keepLines w:val="0"/>
        <w:pageBreakBefore w:val="0"/>
        <w:widowControl/>
        <w:kinsoku w:val="0"/>
        <w:wordWrap/>
        <w:overflowPunct/>
        <w:topLinePunct w:val="0"/>
        <w:autoSpaceDE w:val="0"/>
        <w:autoSpaceDN w:val="0"/>
        <w:bidi w:val="0"/>
        <w:adjustRightInd w:val="0"/>
        <w:snapToGrid w:val="0"/>
        <w:spacing w:line="360" w:lineRule="auto"/>
        <w:ind w:firstLine="0" w:firstLineChars="0"/>
        <w:jc w:val="left"/>
        <w:textAlignment w:val="baseline"/>
        <w:rPr>
          <w:rFonts w:hint="eastAsia" w:ascii="仿宋" w:hAnsi="仿宋" w:eastAsia="仿宋" w:cs="仿宋"/>
          <w:kern w:val="0"/>
          <w:szCs w:val="28"/>
        </w:rPr>
      </w:pPr>
    </w:p>
    <w:p w14:paraId="4D078394">
      <w:pPr>
        <w:keepNext w:val="0"/>
        <w:keepLines w:val="0"/>
        <w:pageBreakBefore w:val="0"/>
        <w:widowControl/>
        <w:kinsoku w:val="0"/>
        <w:wordWrap/>
        <w:overflowPunct/>
        <w:topLinePunct w:val="0"/>
        <w:autoSpaceDE w:val="0"/>
        <w:autoSpaceDN w:val="0"/>
        <w:bidi w:val="0"/>
        <w:adjustRightInd w:val="0"/>
        <w:snapToGrid w:val="0"/>
        <w:spacing w:line="360" w:lineRule="auto"/>
        <w:ind w:firstLine="6300" w:firstLineChars="2100"/>
        <w:jc w:val="left"/>
        <w:textAlignment w:val="baseline"/>
        <w:rPr>
          <w:rFonts w:hint="eastAsia" w:ascii="仿宋" w:hAnsi="仿宋" w:eastAsia="仿宋" w:cs="仿宋"/>
          <w:kern w:val="0"/>
          <w:sz w:val="30"/>
          <w:szCs w:val="30"/>
        </w:rPr>
      </w:pPr>
      <w:r>
        <w:rPr>
          <w:rFonts w:hint="eastAsia" w:ascii="仿宋" w:hAnsi="仿宋" w:eastAsia="仿宋" w:cs="仿宋"/>
          <w:kern w:val="0"/>
          <w:sz w:val="30"/>
          <w:szCs w:val="30"/>
        </w:rPr>
        <w:t>总经理：</w:t>
      </w:r>
    </w:p>
    <w:p w14:paraId="62C18D72">
      <w:pPr>
        <w:keepNext w:val="0"/>
        <w:keepLines w:val="0"/>
        <w:pageBreakBefore w:val="0"/>
        <w:widowControl/>
        <w:kinsoku w:val="0"/>
        <w:wordWrap/>
        <w:overflowPunct/>
        <w:topLinePunct w:val="0"/>
        <w:autoSpaceDE w:val="0"/>
        <w:autoSpaceDN w:val="0"/>
        <w:bidi w:val="0"/>
        <w:adjustRightInd w:val="0"/>
        <w:snapToGrid w:val="0"/>
        <w:spacing w:line="360" w:lineRule="auto"/>
        <w:ind w:firstLine="600"/>
        <w:jc w:val="left"/>
        <w:textAlignment w:val="baseline"/>
        <w:rPr>
          <w:rFonts w:hint="eastAsia" w:ascii="仿宋" w:hAnsi="仿宋" w:eastAsia="仿宋" w:cs="仿宋"/>
          <w:kern w:val="0"/>
          <w:sz w:val="30"/>
          <w:szCs w:val="30"/>
        </w:rPr>
      </w:pPr>
      <w:r>
        <w:rPr>
          <w:rFonts w:hint="eastAsia" w:ascii="仿宋" w:hAnsi="仿宋" w:eastAsia="仿宋" w:cs="仿宋"/>
          <w:kern w:val="0"/>
          <w:sz w:val="30"/>
          <w:szCs w:val="30"/>
        </w:rPr>
        <w:t xml:space="preserve">                                     年   月   日</w:t>
      </w:r>
    </w:p>
    <w:p w14:paraId="05074DC7">
      <w:pPr>
        <w:keepNext w:val="0"/>
        <w:keepLines w:val="0"/>
        <w:pageBreakBefore w:val="0"/>
        <w:widowControl/>
        <w:kinsoku w:val="0"/>
        <w:wordWrap/>
        <w:overflowPunct/>
        <w:topLinePunct w:val="0"/>
        <w:autoSpaceDE w:val="0"/>
        <w:autoSpaceDN w:val="0"/>
        <w:bidi w:val="0"/>
        <w:adjustRightInd w:val="0"/>
        <w:snapToGrid w:val="0"/>
        <w:spacing w:line="360" w:lineRule="auto"/>
        <w:ind w:firstLine="560"/>
        <w:textAlignment w:val="baseline"/>
        <w:rPr>
          <w:rFonts w:hint="eastAsia" w:ascii="仿宋" w:hAnsi="仿宋" w:eastAsia="仿宋" w:cs="仿宋"/>
          <w:szCs w:val="28"/>
        </w:rPr>
      </w:pPr>
    </w:p>
    <w:p w14:paraId="45BAF5CD">
      <w:pPr>
        <w:keepNext w:val="0"/>
        <w:keepLines w:val="0"/>
        <w:pageBreakBefore w:val="0"/>
        <w:widowControl/>
        <w:kinsoku w:val="0"/>
        <w:wordWrap/>
        <w:overflowPunct/>
        <w:topLinePunct w:val="0"/>
        <w:autoSpaceDE w:val="0"/>
        <w:autoSpaceDN w:val="0"/>
        <w:bidi w:val="0"/>
        <w:adjustRightInd w:val="0"/>
        <w:snapToGrid w:val="0"/>
        <w:spacing w:line="360" w:lineRule="auto"/>
        <w:textAlignment w:val="baseline"/>
        <w:rPr>
          <w:rFonts w:hint="eastAsia" w:ascii="仿宋" w:hAnsi="仿宋" w:eastAsia="仿宋" w:cs="仿宋"/>
        </w:rPr>
        <w:sectPr>
          <w:pgSz w:w="11906" w:h="16838"/>
          <w:pgMar w:top="1134" w:right="1134" w:bottom="1134" w:left="1134" w:header="1506" w:footer="0" w:gutter="0"/>
          <w:cols w:space="720" w:num="1"/>
        </w:sectPr>
      </w:pPr>
      <w:r>
        <w:rPr>
          <w:rFonts w:hint="eastAsia" w:ascii="仿宋" w:hAnsi="仿宋" w:eastAsia="仿宋" w:cs="仿宋"/>
          <w:color w:val="FF0000"/>
        </w:rPr>
        <w:br w:type="page"/>
      </w:r>
    </w:p>
    <w:p w14:paraId="5080CE25">
      <w:pPr>
        <w:keepNext w:val="0"/>
        <w:keepLines w:val="0"/>
        <w:pageBreakBefore w:val="0"/>
        <w:widowControl/>
        <w:kinsoku w:val="0"/>
        <w:wordWrap/>
        <w:overflowPunct/>
        <w:topLinePunct w:val="0"/>
        <w:autoSpaceDE w:val="0"/>
        <w:autoSpaceDN w:val="0"/>
        <w:bidi w:val="0"/>
        <w:adjustRightInd w:val="0"/>
        <w:snapToGrid w:val="0"/>
        <w:spacing w:before="0" w:beforeLines="200" w:after="0" w:afterLines="100" w:line="360" w:lineRule="auto"/>
        <w:ind w:firstLine="0" w:firstLineChars="0"/>
        <w:jc w:val="center"/>
        <w:textAlignment w:val="baseline"/>
        <w:rPr>
          <w:rFonts w:hint="eastAsia" w:ascii="仿宋" w:hAnsi="仿宋" w:eastAsia="仿宋" w:cs="仿宋"/>
          <w:b/>
          <w:kern w:val="0"/>
          <w:sz w:val="36"/>
          <w:szCs w:val="36"/>
        </w:rPr>
      </w:pPr>
      <w:r>
        <w:rPr>
          <w:rFonts w:hint="eastAsia" w:ascii="仿宋" w:hAnsi="仿宋" w:eastAsia="仿宋" w:cs="仿宋"/>
          <w:b/>
          <w:kern w:val="0"/>
          <w:sz w:val="36"/>
          <w:szCs w:val="36"/>
        </w:rPr>
        <w:t>修订摘要</w:t>
      </w:r>
    </w:p>
    <w:p w14:paraId="161F648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560" w:firstLineChars="200"/>
        <w:jc w:val="both"/>
        <w:textAlignment w:val="baseline"/>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天津立中轻合金锻造有限公司</w:t>
      </w:r>
      <w:r>
        <w:rPr>
          <w:rFonts w:hint="default" w:ascii="Times New Roman" w:hAnsi="Times New Roman" w:eastAsia="仿宋" w:cs="Times New Roman"/>
          <w:kern w:val="0"/>
          <w:sz w:val="28"/>
          <w:szCs w:val="28"/>
          <w:lang w:val="en-US" w:eastAsia="zh-CN"/>
        </w:rPr>
        <w:t>于2023</w:t>
      </w:r>
      <w:r>
        <w:rPr>
          <w:rFonts w:hint="default" w:ascii="Times New Roman" w:hAnsi="Times New Roman" w:eastAsia="仿宋" w:cs="Times New Roman"/>
          <w:kern w:val="0"/>
          <w:sz w:val="28"/>
          <w:szCs w:val="28"/>
        </w:rPr>
        <w:t>年公司制定并发布了《天津立中轻合金锻造有限公司突发环境事件应急预案》（20</w:t>
      </w:r>
      <w:r>
        <w:rPr>
          <w:rFonts w:hint="default" w:ascii="Times New Roman" w:hAnsi="Times New Roman" w:eastAsia="仿宋" w:cs="Times New Roman"/>
          <w:kern w:val="0"/>
          <w:sz w:val="28"/>
          <w:szCs w:val="28"/>
          <w:lang w:val="en-US" w:eastAsia="zh-CN"/>
        </w:rPr>
        <w:t>23</w:t>
      </w:r>
      <w:r>
        <w:rPr>
          <w:rFonts w:hint="default" w:ascii="Times New Roman" w:hAnsi="Times New Roman" w:eastAsia="仿宋" w:cs="Times New Roman"/>
          <w:kern w:val="0"/>
          <w:sz w:val="28"/>
          <w:szCs w:val="28"/>
        </w:rPr>
        <w:t>年版），并</w:t>
      </w:r>
      <w:r>
        <w:rPr>
          <w:rFonts w:hint="default" w:ascii="Times New Roman" w:hAnsi="Times New Roman" w:eastAsia="仿宋" w:cs="Times New Roman"/>
          <w:kern w:val="0"/>
          <w:sz w:val="28"/>
          <w:szCs w:val="28"/>
          <w:lang w:val="en-US" w:eastAsia="zh-CN"/>
        </w:rPr>
        <w:t>完成</w:t>
      </w:r>
      <w:r>
        <w:rPr>
          <w:rFonts w:hint="default" w:ascii="Times New Roman" w:hAnsi="Times New Roman" w:eastAsia="仿宋" w:cs="Times New Roman"/>
          <w:kern w:val="0"/>
          <w:sz w:val="28"/>
          <w:szCs w:val="28"/>
        </w:rPr>
        <w:t>备案（备案编号为 120116-KF-</w:t>
      </w:r>
      <w:r>
        <w:rPr>
          <w:rFonts w:hint="default" w:ascii="Times New Roman" w:hAnsi="Times New Roman" w:eastAsia="仿宋" w:cs="Times New Roman"/>
          <w:kern w:val="0"/>
          <w:sz w:val="28"/>
          <w:szCs w:val="28"/>
          <w:lang w:val="en-US" w:eastAsia="zh-CN"/>
        </w:rPr>
        <w:t>2023</w:t>
      </w:r>
      <w:r>
        <w:rPr>
          <w:rFonts w:hint="default" w:ascii="Times New Roman" w:hAnsi="Times New Roman" w:eastAsia="仿宋" w:cs="Times New Roman"/>
          <w:kern w:val="0"/>
          <w:sz w:val="28"/>
          <w:szCs w:val="28"/>
        </w:rPr>
        <w:t>-0</w:t>
      </w:r>
      <w:r>
        <w:rPr>
          <w:rFonts w:hint="default" w:ascii="Times New Roman" w:hAnsi="Times New Roman" w:eastAsia="仿宋" w:cs="Times New Roman"/>
          <w:kern w:val="0"/>
          <w:sz w:val="28"/>
          <w:szCs w:val="28"/>
          <w:lang w:val="en-US" w:eastAsia="zh-CN"/>
        </w:rPr>
        <w:t>51</w:t>
      </w:r>
      <w:r>
        <w:rPr>
          <w:rFonts w:hint="default" w:ascii="Times New Roman" w:hAnsi="Times New Roman" w:eastAsia="仿宋" w:cs="Times New Roman"/>
          <w:kern w:val="0"/>
          <w:sz w:val="28"/>
          <w:szCs w:val="28"/>
        </w:rPr>
        <w:t>-L）。</w:t>
      </w:r>
    </w:p>
    <w:p w14:paraId="28BA3219">
      <w:pPr>
        <w:keepNext w:val="0"/>
        <w:keepLines w:val="0"/>
        <w:pageBreakBefore w:val="0"/>
        <w:widowControl w:val="0"/>
        <w:kinsoku w:val="0"/>
        <w:wordWrap/>
        <w:overflowPunct/>
        <w:topLinePunct w:val="0"/>
        <w:autoSpaceDE w:val="0"/>
        <w:autoSpaceDN w:val="0"/>
        <w:bidi w:val="0"/>
        <w:adjustRightInd w:val="0"/>
        <w:snapToGrid w:val="0"/>
        <w:spacing w:line="360" w:lineRule="auto"/>
        <w:ind w:firstLine="560" w:firstLineChars="200"/>
        <w:jc w:val="both"/>
        <w:textAlignment w:val="baseline"/>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根据《企业事业单位突发环境事件应急预案备案管理办法（试行）》（环发[2015]4号）</w:t>
      </w:r>
      <w:r>
        <w:rPr>
          <w:rFonts w:hint="eastAsia" w:ascii="Times New Roman" w:hAnsi="Times New Roman" w:eastAsia="仿宋" w:cs="Times New Roman"/>
          <w:kern w:val="0"/>
          <w:sz w:val="28"/>
          <w:szCs w:val="28"/>
          <w:lang w:eastAsia="zh-CN"/>
        </w:rPr>
        <w:t>“</w:t>
      </w:r>
      <w:r>
        <w:rPr>
          <w:rFonts w:hint="default" w:ascii="Times New Roman" w:hAnsi="Times New Roman" w:eastAsia="仿宋" w:cs="Times New Roman"/>
          <w:kern w:val="0"/>
          <w:sz w:val="28"/>
          <w:szCs w:val="28"/>
        </w:rPr>
        <w:t>第十二条 企业结合环境应急预案实施情况，至少每三年对环境应急预案进行一次回顾性评估</w:t>
      </w:r>
      <w:r>
        <w:rPr>
          <w:rFonts w:hint="eastAsia" w:ascii="Times New Roman" w:hAnsi="Times New Roman" w:eastAsia="仿宋" w:cs="Times New Roman"/>
          <w:kern w:val="0"/>
          <w:sz w:val="28"/>
          <w:szCs w:val="28"/>
          <w:lang w:eastAsia="zh-CN"/>
        </w:rPr>
        <w:t>”</w:t>
      </w:r>
      <w:r>
        <w:rPr>
          <w:rFonts w:hint="default" w:ascii="Times New Roman" w:hAnsi="Times New Roman" w:eastAsia="仿宋" w:cs="Times New Roman"/>
          <w:kern w:val="0"/>
          <w:sz w:val="28"/>
          <w:szCs w:val="28"/>
        </w:rPr>
        <w:t>的时间要求，备案至今已满三年，故开展本次环境应急预案修订，本次应急预案为本厂区</w:t>
      </w:r>
      <w:r>
        <w:rPr>
          <w:rFonts w:hint="default" w:ascii="Times New Roman" w:hAnsi="Times New Roman" w:eastAsia="仿宋" w:cs="Times New Roman"/>
          <w:kern w:val="0"/>
          <w:sz w:val="28"/>
          <w:szCs w:val="28"/>
          <w:lang w:val="en-US" w:eastAsia="zh-CN"/>
        </w:rPr>
        <w:t>第二</w:t>
      </w:r>
      <w:r>
        <w:rPr>
          <w:rFonts w:hint="default" w:ascii="Times New Roman" w:hAnsi="Times New Roman" w:eastAsia="仿宋" w:cs="Times New Roman"/>
          <w:kern w:val="0"/>
          <w:sz w:val="28"/>
          <w:szCs w:val="28"/>
        </w:rPr>
        <w:t>次修订。</w:t>
      </w:r>
    </w:p>
    <w:p w14:paraId="2F1A7954">
      <w:pPr>
        <w:keepNext w:val="0"/>
        <w:keepLines w:val="0"/>
        <w:pageBreakBefore w:val="0"/>
        <w:widowControl w:val="0"/>
        <w:kinsoku w:val="0"/>
        <w:wordWrap/>
        <w:overflowPunct/>
        <w:topLinePunct w:val="0"/>
        <w:autoSpaceDE w:val="0"/>
        <w:autoSpaceDN w:val="0"/>
        <w:bidi w:val="0"/>
        <w:adjustRightInd w:val="0"/>
        <w:snapToGrid w:val="0"/>
        <w:spacing w:line="360" w:lineRule="auto"/>
        <w:ind w:firstLine="560" w:firstLineChars="200"/>
        <w:jc w:val="both"/>
        <w:textAlignment w:val="baseline"/>
        <w:rPr>
          <w:rFonts w:hint="default" w:ascii="Times New Roman" w:hAnsi="Times New Roman" w:eastAsia="仿宋" w:cs="Times New Roman"/>
          <w:kern w:val="0"/>
          <w:sz w:val="28"/>
          <w:szCs w:val="28"/>
        </w:rPr>
      </w:pPr>
      <w:r>
        <w:rPr>
          <w:rFonts w:hint="default" w:ascii="Times New Roman" w:hAnsi="Times New Roman" w:eastAsia="仿宋" w:cs="Times New Roman"/>
          <w:kern w:val="0"/>
          <w:sz w:val="28"/>
          <w:szCs w:val="28"/>
        </w:rPr>
        <w:t>厂区应急物资根据情况进行了调整和更换</w:t>
      </w:r>
      <w:r>
        <w:rPr>
          <w:rFonts w:hint="default" w:ascii="Times New Roman" w:hAnsi="Times New Roman" w:eastAsia="仿宋" w:cs="Times New Roman"/>
          <w:kern w:val="0"/>
          <w:sz w:val="28"/>
          <w:szCs w:val="28"/>
          <w:lang w:eastAsia="zh-CN"/>
        </w:rPr>
        <w:t>，</w:t>
      </w:r>
      <w:r>
        <w:rPr>
          <w:rFonts w:hint="default" w:ascii="Times New Roman" w:hAnsi="Times New Roman" w:eastAsia="仿宋" w:cs="Times New Roman"/>
          <w:kern w:val="0"/>
          <w:sz w:val="28"/>
          <w:szCs w:val="28"/>
          <w:lang w:val="en-US" w:eastAsia="zh-CN"/>
        </w:rPr>
        <w:t>厂区</w:t>
      </w:r>
      <w:r>
        <w:rPr>
          <w:rFonts w:hint="eastAsia" w:ascii="Times New Roman" w:hAnsi="Times New Roman" w:eastAsia="仿宋" w:cs="Times New Roman"/>
          <w:kern w:val="0"/>
          <w:sz w:val="28"/>
          <w:szCs w:val="28"/>
          <w:lang w:val="en-US" w:eastAsia="zh-CN"/>
        </w:rPr>
        <w:t>租赁场地发生变化，</w:t>
      </w:r>
      <w:r>
        <w:rPr>
          <w:rFonts w:hint="default" w:ascii="Times New Roman" w:hAnsi="Times New Roman" w:eastAsia="仿宋" w:cs="Times New Roman"/>
          <w:kern w:val="0"/>
          <w:sz w:val="28"/>
          <w:szCs w:val="28"/>
          <w:lang w:val="en-US" w:eastAsia="zh-CN"/>
        </w:rPr>
        <w:t>内托盘车间区域不再租赁</w:t>
      </w:r>
      <w:r>
        <w:rPr>
          <w:rFonts w:hint="default" w:ascii="Times New Roman" w:hAnsi="Times New Roman" w:eastAsia="仿宋" w:cs="Times New Roman"/>
          <w:kern w:val="0"/>
          <w:sz w:val="28"/>
          <w:szCs w:val="28"/>
        </w:rPr>
        <w:t>。此外公司应急处置队伍</w:t>
      </w:r>
      <w:r>
        <w:rPr>
          <w:rFonts w:hint="eastAsia" w:ascii="Times New Roman" w:hAnsi="Times New Roman" w:eastAsia="仿宋" w:cs="Times New Roman"/>
          <w:kern w:val="0"/>
          <w:sz w:val="28"/>
          <w:szCs w:val="28"/>
          <w:lang w:eastAsia="zh-CN"/>
        </w:rPr>
        <w:t>、</w:t>
      </w:r>
      <w:r>
        <w:rPr>
          <w:rFonts w:hint="eastAsia" w:ascii="Times New Roman" w:hAnsi="Times New Roman" w:eastAsia="仿宋" w:cs="Times New Roman"/>
          <w:kern w:val="0"/>
          <w:sz w:val="28"/>
          <w:szCs w:val="28"/>
          <w:lang w:val="en-US" w:eastAsia="zh-CN"/>
        </w:rPr>
        <w:t>大气环境风险受体及原辅料使用情况</w:t>
      </w:r>
      <w:r>
        <w:rPr>
          <w:rFonts w:hint="default" w:ascii="Times New Roman" w:hAnsi="Times New Roman" w:eastAsia="仿宋" w:cs="Times New Roman"/>
          <w:kern w:val="0"/>
          <w:sz w:val="28"/>
          <w:szCs w:val="28"/>
        </w:rPr>
        <w:t>也有了相应的调整。经评估，厂区环境风险级别不变，仍为一般风险水平。</w:t>
      </w:r>
    </w:p>
    <w:p w14:paraId="37AEFDE2">
      <w:pPr>
        <w:keepNext w:val="0"/>
        <w:keepLines w:val="0"/>
        <w:pageBreakBefore w:val="0"/>
        <w:widowControl w:val="0"/>
        <w:kinsoku w:val="0"/>
        <w:wordWrap/>
        <w:overflowPunct/>
        <w:topLinePunct w:val="0"/>
        <w:autoSpaceDE w:val="0"/>
        <w:autoSpaceDN w:val="0"/>
        <w:bidi w:val="0"/>
        <w:adjustRightInd w:val="0"/>
        <w:snapToGrid w:val="0"/>
        <w:spacing w:line="360" w:lineRule="auto"/>
        <w:ind w:firstLine="560" w:firstLineChars="200"/>
        <w:jc w:val="both"/>
        <w:textAlignment w:val="baseline"/>
        <w:rPr>
          <w:rFonts w:hint="default" w:ascii="Times New Roman" w:hAnsi="Times New Roman" w:eastAsia="仿宋" w:cs="Times New Roman"/>
          <w:kern w:val="0"/>
          <w:sz w:val="28"/>
          <w:szCs w:val="28"/>
        </w:rPr>
      </w:pPr>
    </w:p>
    <w:p w14:paraId="47C8B4BC">
      <w:pPr>
        <w:pStyle w:val="6"/>
        <w:rPr>
          <w:rFonts w:hint="default"/>
        </w:rPr>
        <w:sectPr>
          <w:headerReference r:id="rId8" w:type="default"/>
          <w:footerReference r:id="rId9" w:type="default"/>
          <w:pgSz w:w="11906" w:h="16838"/>
          <w:pgMar w:top="1134" w:right="1134" w:bottom="1134" w:left="1134" w:header="1506" w:footer="0" w:gutter="0"/>
          <w:cols w:space="720" w:num="1"/>
        </w:sectPr>
      </w:pPr>
    </w:p>
    <w:sdt>
      <w:sdtPr>
        <w:rPr>
          <w:rFonts w:ascii="宋体" w:hAnsi="宋体" w:eastAsia="宋体" w:cs="Arial"/>
          <w:snapToGrid w:val="0"/>
          <w:color w:val="000000"/>
          <w:kern w:val="0"/>
          <w:sz w:val="21"/>
          <w:szCs w:val="21"/>
          <w:lang w:val="en-US" w:eastAsia="en-US" w:bidi="ar-SA"/>
        </w:rPr>
        <w:id w:val="147471766"/>
        <w15:color w:val="DBDBDB"/>
        <w:docPartObj>
          <w:docPartGallery w:val="Table of Contents"/>
          <w:docPartUnique/>
        </w:docPartObj>
      </w:sdtPr>
      <w:sdtEndPr>
        <w:rPr>
          <w:rFonts w:hint="default" w:ascii="Times New Roman" w:hAnsi="Times New Roman" w:eastAsia="仿宋" w:cs="Times New Roman"/>
          <w:snapToGrid w:val="0"/>
          <w:color w:val="000000"/>
          <w:kern w:val="0"/>
          <w:sz w:val="24"/>
          <w:szCs w:val="24"/>
          <w:highlight w:val="yellow"/>
          <w:lang w:val="en-US" w:eastAsia="en-US" w:bidi="ar-SA"/>
        </w:rPr>
      </w:sdtEndPr>
      <w:sdtContent>
        <w:p w14:paraId="68481544">
          <w:pPr>
            <w:keepNext w:val="0"/>
            <w:keepLines w:val="0"/>
            <w:pageBreakBefore w:val="0"/>
            <w:widowControl w:val="0"/>
            <w:kinsoku w:val="0"/>
            <w:wordWrap/>
            <w:overflowPunct/>
            <w:topLinePunct w:val="0"/>
            <w:autoSpaceDE w:val="0"/>
            <w:autoSpaceDN w:val="0"/>
            <w:bidi w:val="0"/>
            <w:adjustRightInd w:val="0"/>
            <w:snapToGrid w:val="0"/>
            <w:spacing w:before="0" w:beforeLines="0" w:after="0" w:afterLines="0" w:line="240" w:lineRule="auto"/>
            <w:ind w:left="0" w:leftChars="0" w:right="0" w:rightChars="0" w:firstLine="0" w:firstLineChars="0"/>
            <w:jc w:val="center"/>
            <w:textAlignment w:val="baseline"/>
            <w:rPr>
              <w:rFonts w:hint="eastAsia" w:ascii="仿宋" w:hAnsi="仿宋" w:eastAsia="仿宋" w:cs="仿宋"/>
              <w:b/>
              <w:bCs/>
              <w:sz w:val="32"/>
              <w:szCs w:val="32"/>
            </w:rPr>
          </w:pPr>
          <w:r>
            <w:rPr>
              <w:rFonts w:hint="eastAsia" w:ascii="仿宋" w:hAnsi="仿宋" w:eastAsia="仿宋" w:cs="仿宋"/>
              <w:b/>
              <w:bCs/>
              <w:sz w:val="32"/>
              <w:szCs w:val="32"/>
            </w:rPr>
            <w:t>目</w:t>
          </w:r>
          <w:r>
            <w:rPr>
              <w:rFonts w:hint="eastAsia" w:ascii="仿宋" w:hAnsi="仿宋" w:eastAsia="仿宋" w:cs="仿宋"/>
              <w:b/>
              <w:bCs/>
              <w:sz w:val="32"/>
              <w:szCs w:val="32"/>
              <w:lang w:val="en-US" w:eastAsia="zh-CN"/>
            </w:rPr>
            <w:t xml:space="preserve">  </w:t>
          </w:r>
          <w:r>
            <w:rPr>
              <w:rFonts w:hint="eastAsia" w:ascii="仿宋" w:hAnsi="仿宋" w:eastAsia="仿宋" w:cs="仿宋"/>
              <w:b/>
              <w:bCs/>
              <w:sz w:val="32"/>
              <w:szCs w:val="32"/>
            </w:rPr>
            <w:t>录</w:t>
          </w:r>
        </w:p>
        <w:p w14:paraId="373742DF">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TOC \o "1-3" \h \u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_Toc3722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 </w:t>
          </w:r>
          <w:r>
            <w:rPr>
              <w:rFonts w:hint="default" w:ascii="Times New Roman" w:hAnsi="Times New Roman" w:eastAsia="仿宋" w:cs="Times New Roman"/>
              <w:snapToGrid/>
              <w:sz w:val="24"/>
              <w:szCs w:val="24"/>
              <w:highlight w:val="none"/>
              <w:lang w:eastAsia="zh-CN"/>
            </w:rPr>
            <w:t>总则</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_Toc3722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6FBB4A73">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_Toc20094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1.1. </w:t>
          </w:r>
          <w:r>
            <w:rPr>
              <w:rFonts w:hint="default" w:ascii="Times New Roman" w:hAnsi="Times New Roman" w:eastAsia="仿宋" w:cs="Times New Roman"/>
              <w:snapToGrid/>
              <w:sz w:val="24"/>
              <w:szCs w:val="24"/>
              <w:highlight w:val="none"/>
              <w:lang w:eastAsia="zh-CN"/>
            </w:rPr>
            <w:t>编制目的</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_Toc20094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8D04360">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_Toc2181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1.2. </w:t>
          </w:r>
          <w:r>
            <w:rPr>
              <w:rFonts w:hint="default" w:ascii="Times New Roman" w:hAnsi="Times New Roman" w:eastAsia="仿宋" w:cs="Times New Roman"/>
              <w:snapToGrid/>
              <w:sz w:val="24"/>
              <w:szCs w:val="24"/>
              <w:highlight w:val="none"/>
              <w:lang w:eastAsia="zh-CN"/>
            </w:rPr>
            <w:t>编制依据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_Toc2181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A3922FA">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_Toc2488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1.2.1. 法律法规</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_Toc2488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6D605471">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_Toc24950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 xml:space="preserve">1.2.2. </w:t>
          </w:r>
          <w:r>
            <w:rPr>
              <w:rFonts w:hint="default" w:ascii="Times New Roman" w:hAnsi="Times New Roman" w:eastAsia="仿宋" w:cs="Times New Roman"/>
              <w:sz w:val="24"/>
              <w:szCs w:val="24"/>
              <w:lang w:val="en-US" w:eastAsia="zh-CN"/>
            </w:rPr>
            <w:t>技术规范</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_Toc24950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A785EB6">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_Toc19625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 xml:space="preserve">1.2.3. </w:t>
          </w:r>
          <w:r>
            <w:rPr>
              <w:rFonts w:hint="default" w:ascii="Times New Roman" w:hAnsi="Times New Roman" w:eastAsia="仿宋" w:cs="Times New Roman"/>
              <w:sz w:val="24"/>
              <w:szCs w:val="24"/>
              <w:lang w:val="en-US" w:eastAsia="zh-CN"/>
            </w:rPr>
            <w:t>其他文件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_Toc19625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935EADC">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_Toc26233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1.3. </w:t>
          </w:r>
          <w:r>
            <w:rPr>
              <w:rFonts w:hint="default" w:ascii="Times New Roman" w:hAnsi="Times New Roman" w:eastAsia="仿宋" w:cs="Times New Roman"/>
              <w:snapToGrid/>
              <w:sz w:val="24"/>
              <w:szCs w:val="24"/>
              <w:highlight w:val="none"/>
              <w:lang w:eastAsia="zh-CN"/>
            </w:rPr>
            <w:t>适用范围</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_Toc26233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E923879">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_Toc11965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1.4. </w:t>
          </w:r>
          <w:r>
            <w:rPr>
              <w:rFonts w:hint="default" w:ascii="Times New Roman" w:hAnsi="Times New Roman" w:eastAsia="仿宋" w:cs="Times New Roman"/>
              <w:snapToGrid/>
              <w:sz w:val="24"/>
              <w:szCs w:val="24"/>
              <w:highlight w:val="none"/>
              <w:lang w:eastAsia="zh-CN"/>
            </w:rPr>
            <w:t>工作原则</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_Toc11965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1973D287">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_Toc23814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1.5. </w:t>
          </w:r>
          <w:r>
            <w:rPr>
              <w:rFonts w:hint="default" w:ascii="Times New Roman" w:hAnsi="Times New Roman" w:eastAsia="仿宋" w:cs="Times New Roman"/>
              <w:snapToGrid/>
              <w:sz w:val="24"/>
              <w:szCs w:val="24"/>
              <w:highlight w:val="none"/>
              <w:lang w:eastAsia="zh-CN"/>
            </w:rPr>
            <w:t>预案体系说明</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_Toc23814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69BC617">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_Toc9311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1.6. </w:t>
          </w:r>
          <w:r>
            <w:rPr>
              <w:rFonts w:hint="default" w:ascii="Times New Roman" w:hAnsi="Times New Roman" w:eastAsia="仿宋" w:cs="Times New Roman"/>
              <w:snapToGrid/>
              <w:sz w:val="24"/>
              <w:szCs w:val="24"/>
              <w:highlight w:val="none"/>
              <w:lang w:eastAsia="zh-CN"/>
            </w:rPr>
            <w:t>事故分级说明</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_Toc9311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997D8D7">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_Toc24928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2. </w:t>
          </w:r>
          <w:r>
            <w:rPr>
              <w:rFonts w:hint="default" w:ascii="Times New Roman" w:hAnsi="Times New Roman" w:eastAsia="仿宋" w:cs="Times New Roman"/>
              <w:snapToGrid/>
              <w:sz w:val="24"/>
              <w:szCs w:val="24"/>
              <w:highlight w:val="none"/>
              <w:lang w:eastAsia="zh-CN"/>
            </w:rPr>
            <w:t>基本情况</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_Toc24928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1F339087">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_Toc5161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2.1. </w:t>
          </w:r>
          <w:r>
            <w:rPr>
              <w:rFonts w:hint="default" w:ascii="Times New Roman" w:hAnsi="Times New Roman" w:eastAsia="仿宋" w:cs="Times New Roman"/>
              <w:snapToGrid/>
              <w:sz w:val="24"/>
              <w:szCs w:val="24"/>
              <w:highlight w:val="none"/>
              <w:lang w:eastAsia="zh-CN"/>
            </w:rPr>
            <w:t>企业基本情况</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_Toc5161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B9E79F6">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_Toc5531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2.1.1. 企业概况</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_Toc5531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45880F1">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_Toc32340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2.2. </w:t>
          </w:r>
          <w:r>
            <w:rPr>
              <w:rFonts w:hint="default" w:ascii="Times New Roman" w:hAnsi="Times New Roman" w:eastAsia="仿宋" w:cs="Times New Roman"/>
              <w:snapToGrid/>
              <w:sz w:val="24"/>
              <w:szCs w:val="24"/>
              <w:highlight w:val="none"/>
              <w:lang w:eastAsia="zh-CN"/>
            </w:rPr>
            <w:t>环境风险物质基本情况</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_Toc32340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4032269">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_Toc3507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2.3. </w:t>
          </w:r>
          <w:r>
            <w:rPr>
              <w:rFonts w:hint="default" w:ascii="Times New Roman" w:hAnsi="Times New Roman" w:eastAsia="仿宋" w:cs="Times New Roman"/>
              <w:snapToGrid/>
              <w:sz w:val="24"/>
              <w:szCs w:val="24"/>
              <w:highlight w:val="none"/>
              <w:lang w:eastAsia="zh-CN"/>
            </w:rPr>
            <w:t>周边环境状况</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_Toc3507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D36CFDA">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_Toc4324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3. </w:t>
          </w:r>
          <w:r>
            <w:rPr>
              <w:rFonts w:hint="default" w:ascii="Times New Roman" w:hAnsi="Times New Roman" w:eastAsia="仿宋" w:cs="Times New Roman"/>
              <w:snapToGrid/>
              <w:sz w:val="24"/>
              <w:szCs w:val="24"/>
              <w:highlight w:val="none"/>
              <w:lang w:eastAsia="zh-CN"/>
            </w:rPr>
            <w:t>环境风险源辨识与风险评估</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_Toc4324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15BBD3E">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_Toc2450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4. </w:t>
          </w:r>
          <w:r>
            <w:rPr>
              <w:rFonts w:hint="default" w:ascii="Times New Roman" w:hAnsi="Times New Roman" w:eastAsia="仿宋" w:cs="Times New Roman"/>
              <w:snapToGrid/>
              <w:sz w:val="24"/>
              <w:szCs w:val="24"/>
              <w:highlight w:val="none"/>
              <w:lang w:eastAsia="zh-CN"/>
            </w:rPr>
            <w:t>应急组织机构及职责</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_Toc2450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8263ED6">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_Toc5687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4.1. </w:t>
          </w:r>
          <w:r>
            <w:rPr>
              <w:rFonts w:hint="default" w:ascii="Times New Roman" w:hAnsi="Times New Roman" w:eastAsia="仿宋" w:cs="Times New Roman"/>
              <w:snapToGrid/>
              <w:sz w:val="24"/>
              <w:szCs w:val="24"/>
              <w:highlight w:val="none"/>
              <w:lang w:eastAsia="zh-CN"/>
            </w:rPr>
            <w:t>应急指挥机构组成</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_Toc5687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E91D70B">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_Toc21485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4.2. </w:t>
          </w:r>
          <w:r>
            <w:rPr>
              <w:rFonts w:hint="default" w:ascii="Times New Roman" w:hAnsi="Times New Roman" w:eastAsia="仿宋" w:cs="Times New Roman"/>
              <w:snapToGrid/>
              <w:sz w:val="24"/>
              <w:szCs w:val="24"/>
              <w:highlight w:val="none"/>
              <w:lang w:eastAsia="zh-CN"/>
            </w:rPr>
            <w:t>应急指挥机构的主要职责</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_Toc21485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CFA4616">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_Toc22732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4.3. </w:t>
          </w:r>
          <w:r>
            <w:rPr>
              <w:rFonts w:hint="default" w:ascii="Times New Roman" w:hAnsi="Times New Roman" w:eastAsia="仿宋" w:cs="Times New Roman"/>
              <w:snapToGrid/>
              <w:sz w:val="24"/>
              <w:szCs w:val="24"/>
              <w:highlight w:val="none"/>
              <w:lang w:eastAsia="zh-CN"/>
            </w:rPr>
            <w:t>政府主导应急处置后的指挥与协调</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_Toc22732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F49D9B3">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_Toc5472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5. </w:t>
          </w:r>
          <w:r>
            <w:rPr>
              <w:rFonts w:hint="default" w:ascii="Times New Roman" w:hAnsi="Times New Roman" w:eastAsia="仿宋" w:cs="Times New Roman"/>
              <w:snapToGrid/>
              <w:sz w:val="24"/>
              <w:szCs w:val="24"/>
              <w:highlight w:val="none"/>
              <w:lang w:eastAsia="zh-CN"/>
            </w:rPr>
            <w:t>预警与信息报送</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_Toc5472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0B35BFE">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_Toc11903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5.1. </w:t>
          </w:r>
          <w:r>
            <w:rPr>
              <w:rFonts w:hint="default" w:ascii="Times New Roman" w:hAnsi="Times New Roman" w:eastAsia="仿宋" w:cs="Times New Roman"/>
              <w:snapToGrid/>
              <w:sz w:val="24"/>
              <w:szCs w:val="24"/>
              <w:highlight w:val="none"/>
              <w:lang w:eastAsia="zh-CN"/>
            </w:rPr>
            <w:t>报警、通讯联络方式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_Toc11903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A8607CE">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_Toc9534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5.2. </w:t>
          </w:r>
          <w:r>
            <w:rPr>
              <w:rFonts w:hint="default" w:ascii="Times New Roman" w:hAnsi="Times New Roman" w:eastAsia="仿宋" w:cs="Times New Roman"/>
              <w:snapToGrid/>
              <w:sz w:val="24"/>
              <w:szCs w:val="24"/>
              <w:highlight w:val="none"/>
              <w:lang w:eastAsia="zh-CN"/>
            </w:rPr>
            <w:t>监控预警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_Toc9534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BCB807D">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_Toc11932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5.2.1. 风险源监控措施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_Toc11932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12636C5">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_Toc28129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5.2.2. 预警方式、内容</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_Toc28129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C5C5175">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_Toc29031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5.2.3. 预警信息收集、研判和发布</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_Toc29031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AA36641">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_Toc26755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5.2.4. 预警级别调整和解除</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_Toc26755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68BF9AD">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_Toc27922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5.3. </w:t>
          </w:r>
          <w:r>
            <w:rPr>
              <w:rFonts w:hint="default" w:ascii="Times New Roman" w:hAnsi="Times New Roman" w:eastAsia="仿宋" w:cs="Times New Roman"/>
              <w:snapToGrid/>
              <w:sz w:val="24"/>
              <w:szCs w:val="24"/>
              <w:highlight w:val="none"/>
              <w:lang w:eastAsia="zh-CN"/>
            </w:rPr>
            <w:t>信息报告与处置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_Toc27922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F33264D">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_Toc5357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5.3.1. 企业内部报告</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_Toc5357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1C4EC4A5">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_Toc25399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5.3.2. 信息上报</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_Toc25399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8DC9D05">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_Toc13174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5.3.3. 报告内容</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_Toc13174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145653A3">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_Toc11089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6. </w:t>
          </w:r>
          <w:r>
            <w:rPr>
              <w:rFonts w:hint="default" w:ascii="Times New Roman" w:hAnsi="Times New Roman" w:eastAsia="仿宋" w:cs="Times New Roman"/>
              <w:snapToGrid/>
              <w:sz w:val="24"/>
              <w:szCs w:val="24"/>
              <w:highlight w:val="none"/>
              <w:lang w:eastAsia="zh-CN"/>
            </w:rPr>
            <w:t>应急响应和措施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_Toc11089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88C0677">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_Toc31789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6.1. </w:t>
          </w:r>
          <w:r>
            <w:rPr>
              <w:rFonts w:hint="default" w:ascii="Times New Roman" w:hAnsi="Times New Roman" w:eastAsia="仿宋" w:cs="Times New Roman"/>
              <w:snapToGrid/>
              <w:sz w:val="24"/>
              <w:szCs w:val="24"/>
              <w:highlight w:val="none"/>
              <w:lang w:eastAsia="zh-CN"/>
            </w:rPr>
            <w:t>分级响应机制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_Toc31789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6FCE4761">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_Toc18886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6.2. </w:t>
          </w:r>
          <w:r>
            <w:rPr>
              <w:rFonts w:hint="default" w:ascii="Times New Roman" w:hAnsi="Times New Roman" w:eastAsia="仿宋" w:cs="Times New Roman"/>
              <w:snapToGrid/>
              <w:sz w:val="24"/>
              <w:szCs w:val="24"/>
              <w:highlight w:val="none"/>
              <w:lang w:eastAsia="zh-CN"/>
            </w:rPr>
            <w:t>应急响应流程</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_Toc18886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52D495D">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_Toc9250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6.3. </w:t>
          </w:r>
          <w:r>
            <w:rPr>
              <w:rFonts w:hint="default" w:ascii="Times New Roman" w:hAnsi="Times New Roman" w:eastAsia="仿宋" w:cs="Times New Roman"/>
              <w:snapToGrid/>
              <w:sz w:val="24"/>
              <w:szCs w:val="24"/>
              <w:highlight w:val="none"/>
              <w:lang w:eastAsia="zh-CN"/>
            </w:rPr>
            <w:t>现场应急措施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_Toc9250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67EC04F">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_Toc132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6.3.1. 火灾事故现场应急处置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_Toc132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26</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FA0E2FB">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_Toc18988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6.3.2. 风险物质泄漏事故现场应急处置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_Toc18988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29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1775005">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_Toc11581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6.3.3. 危险废物泄漏事故现场应急处置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_Toc11581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6CEFB33">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_Toc28315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6.4. </w:t>
          </w:r>
          <w:r>
            <w:rPr>
              <w:rFonts w:hint="default" w:ascii="Times New Roman" w:hAnsi="Times New Roman" w:eastAsia="仿宋" w:cs="Times New Roman"/>
              <w:snapToGrid/>
              <w:sz w:val="24"/>
              <w:szCs w:val="24"/>
              <w:highlight w:val="none"/>
              <w:lang w:eastAsia="zh-CN"/>
            </w:rPr>
            <w:t>应急终止</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_Toc28315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66946E21">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_Toc10948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6.4.1. 终止条件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_Toc10948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6E0414D">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_Toc30129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6.4.2. 应急终止的程序</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_Toc30129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048977A">
          <w:pPr>
            <w:pStyle w:val="10"/>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_Toc22045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z w:val="24"/>
              <w:szCs w:val="24"/>
              <w:lang w:eastAsia="zh-CN"/>
            </w:rPr>
            <w:t>6.4.3. 应急终止后的行动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_Toc22045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F452067">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_Toc29419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7. </w:t>
          </w:r>
          <w:r>
            <w:rPr>
              <w:rFonts w:hint="default" w:ascii="Times New Roman" w:hAnsi="Times New Roman" w:eastAsia="仿宋" w:cs="Times New Roman"/>
              <w:snapToGrid/>
              <w:sz w:val="24"/>
              <w:szCs w:val="24"/>
              <w:highlight w:val="none"/>
              <w:lang w:eastAsia="zh-CN"/>
            </w:rPr>
            <w:t>后期处置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_Toc29419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D15650F">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_Toc7484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7.1. </w:t>
          </w:r>
          <w:r>
            <w:rPr>
              <w:rFonts w:hint="default" w:ascii="Times New Roman" w:hAnsi="Times New Roman" w:eastAsia="仿宋" w:cs="Times New Roman"/>
              <w:snapToGrid/>
              <w:sz w:val="24"/>
              <w:szCs w:val="24"/>
              <w:highlight w:val="none"/>
              <w:lang w:eastAsia="zh-CN"/>
            </w:rPr>
            <w:t>现场清洁</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_Toc7484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941031E">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_Toc11085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7.2. </w:t>
          </w:r>
          <w:r>
            <w:rPr>
              <w:rFonts w:hint="default" w:ascii="Times New Roman" w:hAnsi="Times New Roman" w:eastAsia="仿宋" w:cs="Times New Roman"/>
              <w:snapToGrid/>
              <w:sz w:val="24"/>
              <w:szCs w:val="24"/>
              <w:highlight w:val="none"/>
              <w:lang w:eastAsia="zh-CN"/>
            </w:rPr>
            <w:t>善后赔偿</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_Toc11085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FECF983">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_Toc27780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8. </w:t>
          </w:r>
          <w:r>
            <w:rPr>
              <w:rFonts w:hint="default" w:ascii="Times New Roman" w:hAnsi="Times New Roman" w:eastAsia="仿宋" w:cs="Times New Roman"/>
              <w:snapToGrid/>
              <w:sz w:val="24"/>
              <w:szCs w:val="24"/>
              <w:highlight w:val="none"/>
              <w:lang w:eastAsia="zh-CN"/>
            </w:rPr>
            <w:t>保障措施</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_Toc27780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10549BF">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_Toc28495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8.1. </w:t>
          </w:r>
          <w:r>
            <w:rPr>
              <w:rFonts w:hint="default" w:ascii="Times New Roman" w:hAnsi="Times New Roman" w:eastAsia="仿宋" w:cs="Times New Roman"/>
              <w:snapToGrid/>
              <w:sz w:val="24"/>
              <w:szCs w:val="24"/>
              <w:highlight w:val="none"/>
              <w:lang w:eastAsia="zh-CN"/>
            </w:rPr>
            <w:t>通信与信息保障</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_Toc28495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DCB4C47">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_Toc14730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8.2. </w:t>
          </w:r>
          <w:r>
            <w:rPr>
              <w:rFonts w:hint="default" w:ascii="Times New Roman" w:hAnsi="Times New Roman" w:eastAsia="仿宋" w:cs="Times New Roman"/>
              <w:snapToGrid/>
              <w:sz w:val="24"/>
              <w:szCs w:val="24"/>
              <w:highlight w:val="none"/>
              <w:lang w:eastAsia="zh-CN"/>
            </w:rPr>
            <w:t>应急队伍保障</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_Toc14730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33</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7D4869E">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_Toc12592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8.3. </w:t>
          </w:r>
          <w:r>
            <w:rPr>
              <w:rFonts w:hint="default" w:ascii="Times New Roman" w:hAnsi="Times New Roman" w:eastAsia="仿宋" w:cs="Times New Roman"/>
              <w:snapToGrid/>
              <w:sz w:val="24"/>
              <w:szCs w:val="24"/>
              <w:highlight w:val="none"/>
              <w:lang w:eastAsia="zh-CN"/>
            </w:rPr>
            <w:t>应急物资装备保障</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_Toc12592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43CB3DB">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_Toc7340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8.4. </w:t>
          </w:r>
          <w:r>
            <w:rPr>
              <w:rFonts w:hint="default" w:ascii="Times New Roman" w:hAnsi="Times New Roman" w:eastAsia="仿宋" w:cs="Times New Roman"/>
              <w:snapToGrid/>
              <w:sz w:val="24"/>
              <w:szCs w:val="24"/>
              <w:highlight w:val="none"/>
              <w:lang w:eastAsia="zh-CN"/>
            </w:rPr>
            <w:t>经费及其他保障</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_Toc7340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ABB596D">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_Toc8868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9. </w:t>
          </w:r>
          <w:r>
            <w:rPr>
              <w:rFonts w:hint="default" w:ascii="Times New Roman" w:hAnsi="Times New Roman" w:eastAsia="仿宋" w:cs="Times New Roman"/>
              <w:snapToGrid/>
              <w:sz w:val="24"/>
              <w:szCs w:val="24"/>
              <w:highlight w:val="none"/>
              <w:lang w:eastAsia="zh-CN"/>
            </w:rPr>
            <w:t>应急培训与演练</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_Toc8868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F8EA7B4">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_Toc14441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9.1. </w:t>
          </w:r>
          <w:r>
            <w:rPr>
              <w:rFonts w:hint="default" w:ascii="Times New Roman" w:hAnsi="Times New Roman" w:eastAsia="仿宋" w:cs="Times New Roman"/>
              <w:snapToGrid/>
              <w:sz w:val="24"/>
              <w:szCs w:val="24"/>
              <w:highlight w:val="none"/>
              <w:lang w:eastAsia="zh-CN"/>
            </w:rPr>
            <w:t>应急培训</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_Toc14441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504CAA6">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_Toc15680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9.2. </w:t>
          </w:r>
          <w:r>
            <w:rPr>
              <w:rFonts w:hint="default" w:ascii="Times New Roman" w:hAnsi="Times New Roman" w:eastAsia="仿宋" w:cs="Times New Roman"/>
              <w:snapToGrid/>
              <w:sz w:val="24"/>
              <w:szCs w:val="24"/>
              <w:highlight w:val="none"/>
              <w:lang w:eastAsia="zh-CN"/>
            </w:rPr>
            <w:t>演练</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_Toc15680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9E8CE60">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_Toc25780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10. </w:t>
          </w:r>
          <w:r>
            <w:rPr>
              <w:rFonts w:hint="default" w:ascii="Times New Roman" w:hAnsi="Times New Roman" w:eastAsia="仿宋" w:cs="Times New Roman"/>
              <w:snapToGrid/>
              <w:sz w:val="24"/>
              <w:szCs w:val="24"/>
              <w:highlight w:val="none"/>
              <w:lang w:eastAsia="zh-CN"/>
            </w:rPr>
            <w:t>奖惩</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_Toc25780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37</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6E40BAA2">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_Toc29468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11. </w:t>
          </w:r>
          <w:r>
            <w:rPr>
              <w:rFonts w:hint="default" w:ascii="Times New Roman" w:hAnsi="Times New Roman" w:eastAsia="仿宋" w:cs="Times New Roman"/>
              <w:snapToGrid/>
              <w:sz w:val="24"/>
              <w:szCs w:val="24"/>
              <w:highlight w:val="none"/>
              <w:lang w:eastAsia="zh-CN"/>
            </w:rPr>
            <w:t>预案的评审、发布和更新</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_Toc29468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42F9F5B3">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_Toc1421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11.1. </w:t>
          </w:r>
          <w:r>
            <w:rPr>
              <w:rFonts w:hint="default" w:ascii="Times New Roman" w:hAnsi="Times New Roman" w:eastAsia="仿宋" w:cs="Times New Roman"/>
              <w:snapToGrid/>
              <w:sz w:val="24"/>
              <w:szCs w:val="24"/>
              <w:highlight w:val="none"/>
              <w:lang w:eastAsia="zh-CN"/>
            </w:rPr>
            <w:t>预案的评审</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_Toc1421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5FF10CF">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_Toc29037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11.2. </w:t>
          </w:r>
          <w:r>
            <w:rPr>
              <w:rFonts w:hint="default" w:ascii="Times New Roman" w:hAnsi="Times New Roman" w:eastAsia="仿宋" w:cs="Times New Roman"/>
              <w:snapToGrid/>
              <w:sz w:val="24"/>
              <w:szCs w:val="24"/>
              <w:highlight w:val="none"/>
              <w:lang w:eastAsia="zh-CN"/>
            </w:rPr>
            <w:t>预案的发布及更新</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_Toc29037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38</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63F07F6C">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_Toc28579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12. </w:t>
          </w:r>
          <w:r>
            <w:rPr>
              <w:rFonts w:hint="default" w:ascii="Times New Roman" w:hAnsi="Times New Roman" w:eastAsia="仿宋" w:cs="Times New Roman"/>
              <w:snapToGrid/>
              <w:sz w:val="24"/>
              <w:szCs w:val="24"/>
              <w:highlight w:val="none"/>
              <w:lang w:eastAsia="zh-CN"/>
            </w:rPr>
            <w:t>预案实施和生效日期</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_Toc28579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E04889A">
          <w:pPr>
            <w:pStyle w:val="7"/>
            <w:keepNext w:val="0"/>
            <w:keepLines w:val="0"/>
            <w:pageBreakBefore w:val="0"/>
            <w:widowControl/>
            <w:tabs>
              <w:tab w:val="right" w:leader="dot" w:pos="9638"/>
              <w:tab w:val="clear" w:pos="8296"/>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_Toc27957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napToGrid/>
              <w:sz w:val="24"/>
              <w:szCs w:val="24"/>
              <w:lang w:eastAsia="zh-CN"/>
            </w:rPr>
            <w:t xml:space="preserve">13. </w:t>
          </w:r>
          <w:r>
            <w:rPr>
              <w:rFonts w:hint="default" w:ascii="Times New Roman" w:hAnsi="Times New Roman" w:eastAsia="仿宋" w:cs="Times New Roman"/>
              <w:snapToGrid/>
              <w:sz w:val="24"/>
              <w:szCs w:val="24"/>
              <w:highlight w:val="none"/>
              <w:lang w:eastAsia="zh-CN"/>
            </w:rPr>
            <w:t>附件</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_Toc27957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39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77B7154A">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_Toc4815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lang w:val="en-US" w:eastAsia="en-US"/>
            </w:rPr>
            <w:t>附图 1 厂区地理位置图</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_Toc4815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40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10B6C9E">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_Toc29246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附件 1 应急组织机构组成及有关人员联系电话</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_Toc29246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41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0BB38D8">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_Toc8618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附件 2 外部单位及政府有关部门联系电话</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_Toc8618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41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5CDA9104">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_Toc12012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 xml:space="preserve">附件 3 </w:t>
          </w:r>
          <w:r>
            <w:rPr>
              <w:rFonts w:hint="default" w:ascii="Times New Roman" w:hAnsi="Times New Roman" w:eastAsia="仿宋" w:cs="Times New Roman"/>
              <w:spacing w:val="0"/>
              <w:w w:val="100"/>
              <w:sz w:val="24"/>
              <w:szCs w:val="24"/>
              <w:highlight w:val="none"/>
              <w:lang w:val="en-US" w:eastAsia="zh-CN"/>
            </w:rPr>
            <w:t>2023</w:t>
          </w:r>
          <w:r>
            <w:rPr>
              <w:rFonts w:hint="default" w:ascii="Times New Roman" w:hAnsi="Times New Roman" w:eastAsia="仿宋" w:cs="Times New Roman"/>
              <w:spacing w:val="0"/>
              <w:w w:val="100"/>
              <w:sz w:val="24"/>
              <w:szCs w:val="24"/>
              <w:highlight w:val="none"/>
              <w:lang w:val="en-US" w:eastAsia="en-US"/>
            </w:rPr>
            <w:t>版应急预案备案表</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_Toc12012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42</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2991116D">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_Toc26250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附件 4 公司历次环评手续履行情况</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_Toc26250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44</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F08B17A">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_Toc19376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附件 5 危险废物处置协议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_Toc19376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85</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D999A0C">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_Toc14761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附件 6 天津立中轻合金锻造有限公司营业执照</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_Toc14761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99</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5E6A83F">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_Toc4909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 xml:space="preserve">附件 </w:t>
          </w:r>
          <w:r>
            <w:rPr>
              <w:rFonts w:hint="default" w:ascii="Times New Roman" w:hAnsi="Times New Roman" w:eastAsia="仿宋" w:cs="Times New Roman"/>
              <w:spacing w:val="0"/>
              <w:w w:val="100"/>
              <w:sz w:val="24"/>
              <w:szCs w:val="24"/>
              <w:highlight w:val="none"/>
              <w:lang w:val="en-US" w:eastAsia="zh-CN"/>
            </w:rPr>
            <w:t>7</w:t>
          </w:r>
          <w:r>
            <w:rPr>
              <w:rFonts w:hint="default" w:ascii="Times New Roman" w:hAnsi="Times New Roman" w:eastAsia="仿宋" w:cs="Times New Roman"/>
              <w:spacing w:val="0"/>
              <w:w w:val="100"/>
              <w:sz w:val="24"/>
              <w:szCs w:val="24"/>
              <w:highlight w:val="none"/>
              <w:lang w:val="en-US" w:eastAsia="en-US"/>
            </w:rPr>
            <w:t xml:space="preserve"> 应急救援互助协议</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_Toc4909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100</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0C0A0D30">
          <w:pPr>
            <w:pStyle w:val="14"/>
            <w:keepNext w:val="0"/>
            <w:keepLines w:val="0"/>
            <w:pageBreakBefore w:val="0"/>
            <w:widowControl/>
            <w:tabs>
              <w:tab w:val="right" w:leader="dot" w:pos="9638"/>
            </w:tabs>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z w:val="24"/>
              <w:szCs w:val="24"/>
            </w:rPr>
          </w:pPr>
          <w:r>
            <w:rPr>
              <w:rFonts w:hint="default" w:ascii="Times New Roman" w:hAnsi="Times New Roman" w:eastAsia="仿宋" w:cs="Times New Roman"/>
              <w:sz w:val="24"/>
              <w:szCs w:val="24"/>
              <w:highlight w:val="yellow"/>
            </w:rPr>
            <w:fldChar w:fldCharType="begin"/>
          </w:r>
          <w:r>
            <w:rPr>
              <w:rFonts w:hint="default" w:ascii="Times New Roman" w:hAnsi="Times New Roman" w:eastAsia="仿宋" w:cs="Times New Roman"/>
              <w:sz w:val="24"/>
              <w:szCs w:val="24"/>
              <w:highlight w:val="yellow"/>
            </w:rPr>
            <w:instrText xml:space="preserve"> HYPERLINK \l _Toc26949 </w:instrText>
          </w:r>
          <w:r>
            <w:rPr>
              <w:rFonts w:hint="default" w:ascii="Times New Roman" w:hAnsi="Times New Roman" w:eastAsia="仿宋" w:cs="Times New Roman"/>
              <w:sz w:val="24"/>
              <w:szCs w:val="24"/>
              <w:highlight w:val="yellow"/>
            </w:rPr>
            <w:fldChar w:fldCharType="separate"/>
          </w:r>
          <w:r>
            <w:rPr>
              <w:rFonts w:hint="default" w:ascii="Times New Roman" w:hAnsi="Times New Roman" w:eastAsia="仿宋" w:cs="Times New Roman"/>
              <w:spacing w:val="0"/>
              <w:w w:val="100"/>
              <w:sz w:val="24"/>
              <w:szCs w:val="24"/>
              <w:highlight w:val="none"/>
              <w:lang w:val="en-US" w:eastAsia="en-US"/>
            </w:rPr>
            <w:t xml:space="preserve">附件 </w:t>
          </w:r>
          <w:r>
            <w:rPr>
              <w:rFonts w:hint="default" w:ascii="Times New Roman" w:hAnsi="Times New Roman" w:eastAsia="仿宋" w:cs="Times New Roman"/>
              <w:spacing w:val="0"/>
              <w:w w:val="100"/>
              <w:sz w:val="24"/>
              <w:szCs w:val="24"/>
              <w:highlight w:val="none"/>
              <w:lang w:val="en-US" w:eastAsia="zh-CN"/>
            </w:rPr>
            <w:t>8</w:t>
          </w:r>
          <w:r>
            <w:rPr>
              <w:rFonts w:hint="default" w:ascii="Times New Roman" w:hAnsi="Times New Roman" w:eastAsia="仿宋" w:cs="Times New Roman"/>
              <w:spacing w:val="0"/>
              <w:w w:val="100"/>
              <w:sz w:val="24"/>
              <w:szCs w:val="24"/>
              <w:highlight w:val="none"/>
              <w:lang w:val="en-US" w:eastAsia="en-US"/>
            </w:rPr>
            <w:t xml:space="preserve"> 应急监测协议书</w:t>
          </w:r>
          <w:r>
            <w:rPr>
              <w:rFonts w:hint="default" w:ascii="Times New Roman" w:hAnsi="Times New Roman" w:eastAsia="仿宋" w:cs="Times New Roman"/>
              <w:sz w:val="24"/>
              <w:szCs w:val="24"/>
            </w:rPr>
            <w:tab/>
          </w:r>
          <w:r>
            <w:rPr>
              <w:rFonts w:hint="default" w:ascii="Times New Roman" w:hAnsi="Times New Roman" w:eastAsia="仿宋" w:cs="Times New Roman"/>
              <w:sz w:val="24"/>
              <w:szCs w:val="24"/>
            </w:rPr>
            <w:fldChar w:fldCharType="begin"/>
          </w:r>
          <w:r>
            <w:rPr>
              <w:rFonts w:hint="default" w:ascii="Times New Roman" w:hAnsi="Times New Roman" w:eastAsia="仿宋" w:cs="Times New Roman"/>
              <w:sz w:val="24"/>
              <w:szCs w:val="24"/>
            </w:rPr>
            <w:instrText xml:space="preserve"> PAGEREF _Toc26949 \h </w:instrText>
          </w:r>
          <w:r>
            <w:rPr>
              <w:rFonts w:hint="default" w:ascii="Times New Roman" w:hAnsi="Times New Roman" w:eastAsia="仿宋" w:cs="Times New Roman"/>
              <w:sz w:val="24"/>
              <w:szCs w:val="24"/>
            </w:rPr>
            <w:fldChar w:fldCharType="separate"/>
          </w:r>
          <w:r>
            <w:rPr>
              <w:rFonts w:hint="default" w:ascii="Times New Roman" w:hAnsi="Times New Roman" w:eastAsia="仿宋" w:cs="Times New Roman"/>
              <w:sz w:val="24"/>
              <w:szCs w:val="24"/>
            </w:rPr>
            <w:t>101</w:t>
          </w:r>
          <w:r>
            <w:rPr>
              <w:rFonts w:hint="default" w:ascii="Times New Roman" w:hAnsi="Times New Roman" w:eastAsia="仿宋" w:cs="Times New Roman"/>
              <w:sz w:val="24"/>
              <w:szCs w:val="24"/>
            </w:rPr>
            <w:fldChar w:fldCharType="end"/>
          </w:r>
          <w:r>
            <w:rPr>
              <w:rFonts w:hint="default" w:ascii="Times New Roman" w:hAnsi="Times New Roman" w:eastAsia="仿宋" w:cs="Times New Roman"/>
              <w:sz w:val="24"/>
              <w:szCs w:val="24"/>
              <w:highlight w:val="yellow"/>
            </w:rPr>
            <w:fldChar w:fldCharType="end"/>
          </w:r>
        </w:p>
        <w:p w14:paraId="309655D3">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napToGrid w:val="0"/>
              <w:color w:val="000000"/>
              <w:kern w:val="0"/>
              <w:sz w:val="24"/>
              <w:szCs w:val="24"/>
              <w:highlight w:val="yellow"/>
              <w:lang w:val="en-US" w:eastAsia="en-US" w:bidi="ar-SA"/>
            </w:rPr>
          </w:pPr>
          <w:r>
            <w:rPr>
              <w:rFonts w:hint="default" w:ascii="Times New Roman" w:hAnsi="Times New Roman" w:eastAsia="仿宋" w:cs="Times New Roman"/>
              <w:sz w:val="24"/>
              <w:szCs w:val="24"/>
              <w:highlight w:val="yellow"/>
            </w:rPr>
            <w:fldChar w:fldCharType="end"/>
          </w:r>
        </w:p>
      </w:sdtContent>
    </w:sdt>
    <w:p w14:paraId="35A63F4A">
      <w:pPr>
        <w:keepNext w:val="0"/>
        <w:keepLines w:val="0"/>
        <w:pageBreakBefore w:val="0"/>
        <w:widowControl/>
        <w:kinsoku w:val="0"/>
        <w:wordWrap/>
        <w:overflowPunct/>
        <w:topLinePunct w:val="0"/>
        <w:autoSpaceDE w:val="0"/>
        <w:autoSpaceDN w:val="0"/>
        <w:bidi w:val="0"/>
        <w:adjustRightInd w:val="0"/>
        <w:snapToGrid w:val="0"/>
        <w:spacing w:line="240" w:lineRule="auto"/>
        <w:textAlignment w:val="baseline"/>
        <w:rPr>
          <w:rFonts w:hint="default" w:ascii="Times New Roman" w:hAnsi="Times New Roman" w:eastAsia="仿宋" w:cs="Times New Roman"/>
          <w:snapToGrid w:val="0"/>
          <w:color w:val="000000"/>
          <w:kern w:val="0"/>
          <w:sz w:val="24"/>
          <w:szCs w:val="24"/>
          <w:highlight w:val="yellow"/>
          <w:lang w:val="en-US" w:eastAsia="en-US" w:bidi="ar-SA"/>
        </w:rPr>
        <w:sectPr>
          <w:footerReference r:id="rId10" w:type="default"/>
          <w:pgSz w:w="11906" w:h="16838"/>
          <w:pgMar w:top="1134" w:right="1134" w:bottom="1134" w:left="1134" w:header="567" w:footer="567" w:gutter="0"/>
          <w:pgNumType w:fmt="upperRoman" w:start="1"/>
          <w:cols w:space="720" w:num="1"/>
        </w:sectPr>
      </w:pPr>
    </w:p>
    <w:p w14:paraId="2EAE6B61">
      <w:pPr>
        <w:spacing w:line="184" w:lineRule="auto"/>
        <w:rPr>
          <w:rFonts w:hint="eastAsia" w:ascii="仿宋" w:hAnsi="仿宋" w:eastAsia="仿宋" w:cs="仿宋"/>
          <w:sz w:val="18"/>
          <w:szCs w:val="18"/>
          <w:highlight w:val="yellow"/>
        </w:rPr>
        <w:sectPr>
          <w:footerReference r:id="rId11" w:type="default"/>
          <w:pgSz w:w="11906" w:h="16838"/>
          <w:pgMar w:top="1134" w:right="1134" w:bottom="1134" w:left="1134" w:header="1474" w:footer="0" w:gutter="0"/>
          <w:cols w:space="720" w:num="1"/>
        </w:sectPr>
      </w:pPr>
    </w:p>
    <w:p w14:paraId="716493AB">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0" w:name="bookmark46"/>
      <w:bookmarkEnd w:id="0"/>
      <w:bookmarkStart w:id="1" w:name="_Toc3722"/>
      <w:r>
        <w:rPr>
          <w:rFonts w:hint="eastAsia" w:ascii="Times New Roman" w:hAnsi="Times New Roman" w:eastAsia="仿宋" w:cs="Times New Roman"/>
          <w:snapToGrid/>
          <w:highlight w:val="none"/>
          <w:lang w:eastAsia="zh-CN"/>
        </w:rPr>
        <w:t>总则</w:t>
      </w:r>
      <w:bookmarkEnd w:id="1"/>
    </w:p>
    <w:p w14:paraId="5BA7F315">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2" w:name="_Toc20094"/>
      <w:r>
        <w:rPr>
          <w:rFonts w:hint="eastAsia" w:ascii="Times New Roman" w:hAnsi="Times New Roman" w:eastAsia="仿宋" w:cs="Times New Roman"/>
          <w:snapToGrid/>
          <w:sz w:val="30"/>
          <w:szCs w:val="30"/>
          <w:highlight w:val="none"/>
          <w:lang w:eastAsia="zh-CN"/>
        </w:rPr>
        <w:t>编制目的</w:t>
      </w:r>
      <w:bookmarkEnd w:id="2"/>
    </w:p>
    <w:p w14:paraId="57E3E6C3">
      <w:pPr>
        <w:keepNext w:val="0"/>
        <w:keepLines w:val="0"/>
        <w:pageBreakBefore w:val="0"/>
        <w:widowControl w:val="0"/>
        <w:kinsoku w:val="0"/>
        <w:wordWrap/>
        <w:overflowPunct/>
        <w:topLinePunct w:val="0"/>
        <w:autoSpaceDE w:val="0"/>
        <w:autoSpaceDN w:val="0"/>
        <w:bidi w:val="0"/>
        <w:adjustRightInd w:val="0"/>
        <w:snapToGrid w:val="0"/>
        <w:spacing w:line="360" w:lineRule="auto"/>
        <w:ind w:firstLine="560" w:firstLineChars="200"/>
        <w:jc w:val="both"/>
        <w:textAlignment w:val="baseline"/>
        <w:rPr>
          <w:rFonts w:hint="eastAsia" w:ascii="Times New Roman" w:hAnsi="Times New Roman" w:eastAsia="仿宋" w:cs="Times New Roman"/>
          <w:kern w:val="0"/>
          <w:sz w:val="28"/>
          <w:szCs w:val="28"/>
        </w:rPr>
      </w:pPr>
      <w:r>
        <w:rPr>
          <w:rFonts w:hint="eastAsia" w:ascii="Times New Roman" w:hAnsi="Times New Roman" w:eastAsia="仿宋" w:cs="Times New Roman"/>
          <w:kern w:val="0"/>
          <w:sz w:val="28"/>
          <w:szCs w:val="28"/>
        </w:rPr>
        <w:t>为了规范和强化本企业人员应对公司在天津经济技术开发区西区租赁的天津立中车轮有限公司厂房中突发环境事件应急处置工作，在突发环境事件发生时，通过本预案的实施，能迅速、有序、高效地开展应急处置，减少人员伤亡、经济损失，降低对环境的影响。</w:t>
      </w:r>
    </w:p>
    <w:p w14:paraId="62513C4B">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3" w:name="_Toc2181"/>
      <w:r>
        <w:rPr>
          <w:rFonts w:hint="eastAsia" w:ascii="Times New Roman" w:hAnsi="Times New Roman" w:eastAsia="仿宋" w:cs="Times New Roman"/>
          <w:snapToGrid/>
          <w:sz w:val="30"/>
          <w:szCs w:val="30"/>
          <w:highlight w:val="none"/>
          <w:lang w:eastAsia="zh-CN"/>
        </w:rPr>
        <w:t>编制依据</w:t>
      </w:r>
      <w:bookmarkEnd w:id="3"/>
    </w:p>
    <w:p w14:paraId="1AF73CFF">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default" w:ascii="Times New Roman" w:hAnsi="Times New Roman" w:eastAsia="仿宋" w:cs="Times New Roman"/>
          <w:sz w:val="30"/>
          <w:szCs w:val="30"/>
          <w:lang w:eastAsia="zh-CN"/>
        </w:rPr>
      </w:pPr>
      <w:bookmarkStart w:id="4" w:name="_Toc9697"/>
      <w:bookmarkStart w:id="5" w:name="_Toc2488"/>
      <w:r>
        <w:rPr>
          <w:rFonts w:hint="default" w:ascii="Times New Roman" w:hAnsi="Times New Roman" w:eastAsia="仿宋" w:cs="Times New Roman"/>
          <w:sz w:val="30"/>
          <w:szCs w:val="30"/>
          <w:lang w:eastAsia="zh-CN"/>
        </w:rPr>
        <w:t>法律法规</w:t>
      </w:r>
      <w:bookmarkEnd w:id="4"/>
      <w:bookmarkEnd w:id="5"/>
    </w:p>
    <w:p w14:paraId="550C7B7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（1）《中华人民共和国环境保护法》（2014年4月24日修订，2015年1月1日起实施）；</w:t>
      </w:r>
    </w:p>
    <w:p w14:paraId="621A35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（2）《</w:t>
      </w:r>
      <w:r>
        <w:rPr>
          <w:rFonts w:hint="default" w:ascii="Times New Roman" w:hAnsi="Times New Roman" w:eastAsia="仿宋" w:cs="Times New Roman"/>
          <w:color w:val="auto"/>
          <w:spacing w:val="0"/>
          <w:w w:val="100"/>
          <w:sz w:val="28"/>
          <w:szCs w:val="28"/>
          <w:highlight w:val="none"/>
        </w:rPr>
        <w:t>中华人民共和国突发事件应对法</w:t>
      </w:r>
      <w:r>
        <w:rPr>
          <w:rFonts w:hint="default" w:ascii="Times New Roman" w:hAnsi="Times New Roman" w:eastAsia="仿宋" w:cs="Times New Roman"/>
          <w:color w:val="auto"/>
          <w:spacing w:val="0"/>
          <w:w w:val="100"/>
          <w:sz w:val="28"/>
          <w:szCs w:val="28"/>
        </w:rPr>
        <w:t>》（20</w:t>
      </w:r>
      <w:r>
        <w:rPr>
          <w:rFonts w:hint="eastAsia" w:ascii="Times New Roman" w:hAnsi="Times New Roman" w:eastAsia="仿宋" w:cs="Times New Roman"/>
          <w:color w:val="auto"/>
          <w:spacing w:val="0"/>
          <w:w w:val="100"/>
          <w:sz w:val="28"/>
          <w:szCs w:val="28"/>
          <w:lang w:val="en-US" w:eastAsia="zh-CN"/>
        </w:rPr>
        <w:t>24</w:t>
      </w:r>
      <w:r>
        <w:rPr>
          <w:rFonts w:hint="default" w:ascii="Times New Roman" w:hAnsi="Times New Roman" w:eastAsia="仿宋" w:cs="Times New Roman"/>
          <w:color w:val="auto"/>
          <w:spacing w:val="0"/>
          <w:w w:val="100"/>
          <w:sz w:val="28"/>
          <w:szCs w:val="28"/>
        </w:rPr>
        <w:t>年</w:t>
      </w:r>
      <w:r>
        <w:rPr>
          <w:rFonts w:hint="eastAsia" w:ascii="Times New Roman" w:hAnsi="Times New Roman" w:eastAsia="仿宋" w:cs="Times New Roman"/>
          <w:color w:val="auto"/>
          <w:spacing w:val="0"/>
          <w:w w:val="100"/>
          <w:sz w:val="28"/>
          <w:szCs w:val="28"/>
          <w:lang w:val="en-US" w:eastAsia="zh-CN"/>
        </w:rPr>
        <w:t>6</w:t>
      </w:r>
      <w:r>
        <w:rPr>
          <w:rFonts w:hint="default" w:ascii="Times New Roman" w:hAnsi="Times New Roman" w:eastAsia="仿宋" w:cs="Times New Roman"/>
          <w:color w:val="auto"/>
          <w:spacing w:val="0"/>
          <w:w w:val="100"/>
          <w:sz w:val="28"/>
          <w:szCs w:val="28"/>
        </w:rPr>
        <w:t>月</w:t>
      </w:r>
      <w:r>
        <w:rPr>
          <w:rFonts w:hint="eastAsia" w:ascii="Times New Roman" w:hAnsi="Times New Roman" w:eastAsia="仿宋" w:cs="Times New Roman"/>
          <w:color w:val="auto"/>
          <w:spacing w:val="0"/>
          <w:w w:val="100"/>
          <w:sz w:val="28"/>
          <w:szCs w:val="28"/>
          <w:lang w:val="en-US" w:eastAsia="zh-CN"/>
        </w:rPr>
        <w:t>28</w:t>
      </w:r>
      <w:r>
        <w:rPr>
          <w:rFonts w:hint="default" w:ascii="Times New Roman" w:hAnsi="Times New Roman" w:eastAsia="仿宋" w:cs="Times New Roman"/>
          <w:color w:val="auto"/>
          <w:spacing w:val="0"/>
          <w:w w:val="100"/>
          <w:sz w:val="28"/>
          <w:szCs w:val="28"/>
        </w:rPr>
        <w:t>日发布</w:t>
      </w:r>
      <w:r>
        <w:rPr>
          <w:rFonts w:hint="default" w:ascii="Times New Roman" w:hAnsi="Times New Roman" w:eastAsia="仿宋" w:cs="Times New Roman"/>
          <w:color w:val="auto"/>
          <w:spacing w:val="0"/>
          <w:w w:val="100"/>
          <w:sz w:val="28"/>
          <w:szCs w:val="28"/>
          <w:lang w:eastAsia="zh-CN"/>
        </w:rPr>
        <w:t>，</w:t>
      </w:r>
      <w:r>
        <w:rPr>
          <w:rFonts w:hint="default" w:ascii="Times New Roman" w:hAnsi="Times New Roman" w:eastAsia="仿宋" w:cs="Times New Roman"/>
          <w:color w:val="auto"/>
          <w:spacing w:val="0"/>
          <w:w w:val="100"/>
          <w:sz w:val="28"/>
          <w:szCs w:val="28"/>
        </w:rPr>
        <w:t>20</w:t>
      </w:r>
      <w:r>
        <w:rPr>
          <w:rFonts w:hint="eastAsia" w:ascii="Times New Roman" w:hAnsi="Times New Roman" w:eastAsia="仿宋" w:cs="Times New Roman"/>
          <w:color w:val="auto"/>
          <w:spacing w:val="0"/>
          <w:w w:val="100"/>
          <w:sz w:val="28"/>
          <w:szCs w:val="28"/>
          <w:lang w:val="en-US" w:eastAsia="zh-CN"/>
        </w:rPr>
        <w:t>24</w:t>
      </w:r>
      <w:r>
        <w:rPr>
          <w:rFonts w:hint="default" w:ascii="Times New Roman" w:hAnsi="Times New Roman" w:eastAsia="仿宋" w:cs="Times New Roman"/>
          <w:color w:val="auto"/>
          <w:spacing w:val="0"/>
          <w:w w:val="100"/>
          <w:sz w:val="28"/>
          <w:szCs w:val="28"/>
        </w:rPr>
        <w:t>年11月1日起实施）；</w:t>
      </w:r>
    </w:p>
    <w:p w14:paraId="2A6368F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（3）《</w:t>
      </w:r>
      <w:r>
        <w:rPr>
          <w:rFonts w:hint="default" w:ascii="Times New Roman" w:hAnsi="Times New Roman" w:eastAsia="仿宋" w:cs="Times New Roman"/>
          <w:color w:val="auto"/>
          <w:spacing w:val="0"/>
          <w:w w:val="100"/>
          <w:sz w:val="28"/>
          <w:szCs w:val="28"/>
          <w:highlight w:val="none"/>
        </w:rPr>
        <w:t>中华人民共和国大气污染防治法</w:t>
      </w:r>
      <w:r>
        <w:rPr>
          <w:rFonts w:hint="default" w:ascii="Times New Roman" w:hAnsi="Times New Roman" w:eastAsia="仿宋" w:cs="Times New Roman"/>
          <w:color w:val="auto"/>
          <w:spacing w:val="0"/>
          <w:w w:val="100"/>
          <w:sz w:val="28"/>
          <w:szCs w:val="28"/>
        </w:rPr>
        <w:t>》（2018年10月26日修订并实施）；</w:t>
      </w:r>
    </w:p>
    <w:p w14:paraId="5423D51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（4）《中华人民共和国水污染防治法》（2017年6月27日修订，2018年1月1日起实施）；</w:t>
      </w:r>
    </w:p>
    <w:p w14:paraId="22073C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（5）《中华人民共和国土壤污染防治法》（2018年8月31日发布</w:t>
      </w:r>
      <w:r>
        <w:rPr>
          <w:rFonts w:hint="default" w:ascii="Times New Roman" w:hAnsi="Times New Roman" w:eastAsia="仿宋" w:cs="Times New Roman"/>
          <w:color w:val="auto"/>
          <w:spacing w:val="0"/>
          <w:w w:val="100"/>
          <w:sz w:val="28"/>
          <w:szCs w:val="28"/>
          <w:lang w:eastAsia="zh-CN"/>
        </w:rPr>
        <w:t>，</w:t>
      </w:r>
      <w:r>
        <w:rPr>
          <w:rFonts w:hint="default" w:ascii="Times New Roman" w:hAnsi="Times New Roman" w:eastAsia="仿宋" w:cs="Times New Roman"/>
          <w:color w:val="auto"/>
          <w:spacing w:val="0"/>
          <w:w w:val="100"/>
          <w:sz w:val="28"/>
          <w:szCs w:val="28"/>
        </w:rPr>
        <w:t>2019年1月1日起实施）</w:t>
      </w:r>
    </w:p>
    <w:p w14:paraId="3E49525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lang w:eastAsia="zh-CN"/>
        </w:rPr>
      </w:pPr>
      <w:r>
        <w:rPr>
          <w:rFonts w:hint="default" w:ascii="Times New Roman" w:hAnsi="Times New Roman" w:eastAsia="仿宋" w:cs="Times New Roman"/>
          <w:color w:val="auto"/>
          <w:spacing w:val="0"/>
          <w:w w:val="100"/>
          <w:sz w:val="28"/>
          <w:szCs w:val="28"/>
        </w:rPr>
        <w:t>（6）《中华人民共和国固体废物污染环境防治法》（202</w:t>
      </w:r>
      <w:r>
        <w:rPr>
          <w:rFonts w:hint="eastAsia" w:ascii="Times New Roman" w:hAnsi="Times New Roman" w:eastAsia="仿宋" w:cs="Times New Roman"/>
          <w:color w:val="auto"/>
          <w:spacing w:val="0"/>
          <w:w w:val="100"/>
          <w:sz w:val="28"/>
          <w:szCs w:val="28"/>
          <w:lang w:val="en-US" w:eastAsia="zh-CN"/>
        </w:rPr>
        <w:t>0</w:t>
      </w:r>
      <w:r>
        <w:rPr>
          <w:rFonts w:hint="default" w:ascii="Times New Roman" w:hAnsi="Times New Roman" w:eastAsia="仿宋" w:cs="Times New Roman"/>
          <w:color w:val="auto"/>
          <w:spacing w:val="0"/>
          <w:w w:val="100"/>
          <w:sz w:val="28"/>
          <w:szCs w:val="28"/>
        </w:rPr>
        <w:t>年</w:t>
      </w:r>
      <w:r>
        <w:rPr>
          <w:rFonts w:hint="eastAsia" w:ascii="Times New Roman" w:hAnsi="Times New Roman" w:eastAsia="仿宋" w:cs="Times New Roman"/>
          <w:color w:val="auto"/>
          <w:spacing w:val="0"/>
          <w:w w:val="100"/>
          <w:sz w:val="28"/>
          <w:szCs w:val="28"/>
          <w:lang w:val="en-US" w:eastAsia="zh-CN"/>
        </w:rPr>
        <w:t>9月1日实施</w:t>
      </w:r>
      <w:r>
        <w:rPr>
          <w:rFonts w:hint="default" w:ascii="Times New Roman" w:hAnsi="Times New Roman" w:eastAsia="仿宋" w:cs="Times New Roman"/>
          <w:color w:val="auto"/>
          <w:spacing w:val="0"/>
          <w:w w:val="100"/>
          <w:sz w:val="28"/>
          <w:szCs w:val="28"/>
        </w:rPr>
        <w:t>）</w:t>
      </w:r>
      <w:r>
        <w:rPr>
          <w:rFonts w:hint="default" w:ascii="Times New Roman" w:hAnsi="Times New Roman" w:eastAsia="仿宋" w:cs="Times New Roman"/>
          <w:color w:val="auto"/>
          <w:spacing w:val="0"/>
          <w:w w:val="100"/>
          <w:sz w:val="28"/>
          <w:szCs w:val="28"/>
          <w:lang w:eastAsia="zh-CN"/>
        </w:rPr>
        <w:t>；</w:t>
      </w:r>
    </w:p>
    <w:p w14:paraId="7F355BA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（7）《中华人民共和国安全生产法》（2021年6月10日修订，2021年9月1日起施行）；</w:t>
      </w:r>
    </w:p>
    <w:p w14:paraId="5C93DA7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（8）《中华人民共和国消防法》（2021年4月29日</w:t>
      </w:r>
      <w:r>
        <w:rPr>
          <w:rFonts w:hint="eastAsia" w:ascii="Times New Roman" w:hAnsi="Times New Roman" w:eastAsia="仿宋" w:cs="Times New Roman"/>
          <w:color w:val="auto"/>
          <w:spacing w:val="0"/>
          <w:w w:val="100"/>
          <w:sz w:val="28"/>
          <w:szCs w:val="28"/>
          <w:lang w:val="en-US" w:eastAsia="zh-CN"/>
        </w:rPr>
        <w:t>实施</w:t>
      </w:r>
      <w:r>
        <w:rPr>
          <w:rFonts w:hint="default" w:ascii="Times New Roman" w:hAnsi="Times New Roman" w:eastAsia="仿宋" w:cs="Times New Roman"/>
          <w:color w:val="auto"/>
          <w:spacing w:val="0"/>
          <w:w w:val="100"/>
          <w:sz w:val="28"/>
          <w:szCs w:val="28"/>
        </w:rPr>
        <w:t>）；</w:t>
      </w:r>
    </w:p>
    <w:p w14:paraId="0E16A7E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（9）《突发环境事件应急管理办法》（环境保护部令2015年第34号）（2015年4月16日公布，2015年6月5日施行）；</w:t>
      </w:r>
    </w:p>
    <w:p w14:paraId="7534F40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（10）《突发环境事件信息报告办法》（环境保护部令2011年第17号）（2011年4月18日公布，2011年5月1日施行）；</w:t>
      </w:r>
    </w:p>
    <w:p w14:paraId="1DBB68C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（11）《关于进一步加强环境影响评价管理防范环境风险的通知</w:t>
      </w:r>
      <w:r>
        <w:rPr>
          <w:rFonts w:hint="default" w:ascii="Times New Roman" w:hAnsi="Times New Roman" w:eastAsia="仿宋" w:cs="Times New Roman"/>
          <w:color w:val="auto"/>
          <w:spacing w:val="0"/>
          <w:w w:val="100"/>
          <w:sz w:val="28"/>
          <w:szCs w:val="28"/>
          <w:lang w:eastAsia="zh-CN"/>
        </w:rPr>
        <w:t>》</w:t>
      </w:r>
      <w:r>
        <w:rPr>
          <w:rFonts w:hint="default" w:ascii="Times New Roman" w:hAnsi="Times New Roman" w:eastAsia="仿宋" w:cs="Times New Roman"/>
          <w:color w:val="auto"/>
          <w:spacing w:val="0"/>
          <w:w w:val="100"/>
          <w:sz w:val="28"/>
          <w:szCs w:val="28"/>
        </w:rPr>
        <w:t>（环发[2012]77号）；</w:t>
      </w:r>
    </w:p>
    <w:p w14:paraId="0F21095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（12）《关于切实加强风险防范严格环境影响评价管理的通知</w:t>
      </w:r>
      <w:r>
        <w:rPr>
          <w:rFonts w:hint="default" w:ascii="Times New Roman" w:hAnsi="Times New Roman" w:eastAsia="仿宋" w:cs="Times New Roman"/>
          <w:color w:val="auto"/>
          <w:spacing w:val="0"/>
          <w:w w:val="100"/>
          <w:sz w:val="28"/>
          <w:szCs w:val="28"/>
          <w:lang w:eastAsia="zh-CN"/>
        </w:rPr>
        <w:t>》</w:t>
      </w:r>
      <w:r>
        <w:rPr>
          <w:rFonts w:hint="default" w:ascii="Times New Roman" w:hAnsi="Times New Roman" w:eastAsia="仿宋" w:cs="Times New Roman"/>
          <w:color w:val="auto"/>
          <w:spacing w:val="0"/>
          <w:w w:val="100"/>
          <w:sz w:val="28"/>
          <w:szCs w:val="28"/>
        </w:rPr>
        <w:t>（环发[2012]98号）；</w:t>
      </w:r>
    </w:p>
    <w:p w14:paraId="11CBF8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（13）《国务院办公厅关于印发突发事件应急预案管理办法的通知》（国办发[2024]5号）；</w:t>
      </w:r>
    </w:p>
    <w:p w14:paraId="486FC9C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（14）《企业事业单位突发环境事件应急预案备案管理办法（试行）》（环发[2015]4号）；</w:t>
      </w:r>
    </w:p>
    <w:p w14:paraId="0AF0563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（15）《企业突发环境事件隐患排查和治理工作指南（试行）》（环境保护部公告2016年第74号）；</w:t>
      </w:r>
    </w:p>
    <w:p w14:paraId="104E1B0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（16）关于印发《企业事业单位突发环境事件应急预案评审工作指南（试行）》的通知（环办应急〔2018〕8号）；</w:t>
      </w:r>
    </w:p>
    <w:p w14:paraId="11737D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（17）《关于建立健全环境保护和安全监管部门应急联动工作机制的通知》（环办〔2010〕5号）；</w:t>
      </w:r>
    </w:p>
    <w:p w14:paraId="7ABF0DD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default" w:ascii="Times New Roman" w:hAnsi="Times New Roman" w:eastAsia="仿宋" w:cs="Times New Roman"/>
          <w:color w:val="auto"/>
          <w:spacing w:val="0"/>
          <w:w w:val="100"/>
          <w:sz w:val="28"/>
          <w:szCs w:val="28"/>
        </w:rPr>
        <w:t>（18）《突发事件应急预案管理办法》（20</w:t>
      </w:r>
      <w:r>
        <w:rPr>
          <w:rFonts w:hint="eastAsia" w:ascii="Times New Roman" w:hAnsi="Times New Roman" w:eastAsia="仿宋" w:cs="Times New Roman"/>
          <w:color w:val="auto"/>
          <w:spacing w:val="0"/>
          <w:w w:val="100"/>
          <w:sz w:val="28"/>
          <w:szCs w:val="28"/>
          <w:lang w:val="en-US" w:eastAsia="zh-CN"/>
        </w:rPr>
        <w:t>24</w:t>
      </w:r>
      <w:r>
        <w:rPr>
          <w:rFonts w:hint="default" w:ascii="Times New Roman" w:hAnsi="Times New Roman" w:eastAsia="仿宋" w:cs="Times New Roman"/>
          <w:color w:val="auto"/>
          <w:spacing w:val="0"/>
          <w:w w:val="100"/>
          <w:sz w:val="28"/>
          <w:szCs w:val="28"/>
        </w:rPr>
        <w:t>年</w:t>
      </w:r>
      <w:r>
        <w:rPr>
          <w:rFonts w:hint="eastAsia" w:ascii="Times New Roman" w:hAnsi="Times New Roman" w:eastAsia="仿宋" w:cs="Times New Roman"/>
          <w:color w:val="auto"/>
          <w:spacing w:val="0"/>
          <w:w w:val="100"/>
          <w:sz w:val="28"/>
          <w:szCs w:val="28"/>
          <w:lang w:val="en-US" w:eastAsia="zh-CN"/>
        </w:rPr>
        <w:t>1</w:t>
      </w:r>
      <w:r>
        <w:rPr>
          <w:rFonts w:hint="default" w:ascii="Times New Roman" w:hAnsi="Times New Roman" w:eastAsia="仿宋" w:cs="Times New Roman"/>
          <w:color w:val="auto"/>
          <w:spacing w:val="0"/>
          <w:w w:val="100"/>
          <w:sz w:val="28"/>
          <w:szCs w:val="28"/>
        </w:rPr>
        <w:t>月</w:t>
      </w:r>
      <w:r>
        <w:rPr>
          <w:rFonts w:hint="eastAsia" w:ascii="Times New Roman" w:hAnsi="Times New Roman" w:eastAsia="仿宋" w:cs="Times New Roman"/>
          <w:color w:val="auto"/>
          <w:spacing w:val="0"/>
          <w:w w:val="100"/>
          <w:sz w:val="28"/>
          <w:szCs w:val="28"/>
          <w:lang w:val="en-US" w:eastAsia="zh-CN"/>
        </w:rPr>
        <w:t>31</w:t>
      </w:r>
      <w:r>
        <w:rPr>
          <w:rFonts w:hint="default" w:ascii="Times New Roman" w:hAnsi="Times New Roman" w:eastAsia="仿宋" w:cs="Times New Roman"/>
          <w:color w:val="auto"/>
          <w:spacing w:val="0"/>
          <w:w w:val="100"/>
          <w:sz w:val="28"/>
          <w:szCs w:val="28"/>
        </w:rPr>
        <w:t>日</w:t>
      </w:r>
      <w:r>
        <w:rPr>
          <w:rFonts w:hint="eastAsia" w:ascii="Times New Roman" w:hAnsi="Times New Roman" w:eastAsia="仿宋" w:cs="Times New Roman"/>
          <w:color w:val="auto"/>
          <w:spacing w:val="0"/>
          <w:w w:val="100"/>
          <w:sz w:val="28"/>
          <w:szCs w:val="28"/>
          <w:lang w:val="en-US" w:eastAsia="zh-CN"/>
        </w:rPr>
        <w:t>发布并</w:t>
      </w:r>
      <w:r>
        <w:rPr>
          <w:rFonts w:hint="default" w:ascii="Times New Roman" w:hAnsi="Times New Roman" w:eastAsia="仿宋" w:cs="Times New Roman"/>
          <w:color w:val="auto"/>
          <w:spacing w:val="0"/>
          <w:w w:val="100"/>
          <w:sz w:val="28"/>
          <w:szCs w:val="28"/>
        </w:rPr>
        <w:t>实施）</w:t>
      </w:r>
      <w:r>
        <w:rPr>
          <w:rFonts w:hint="eastAsia" w:ascii="Times New Roman" w:hAnsi="Times New Roman" w:eastAsia="仿宋" w:cs="Times New Roman"/>
          <w:color w:val="auto"/>
          <w:spacing w:val="0"/>
          <w:w w:val="100"/>
          <w:sz w:val="28"/>
          <w:szCs w:val="28"/>
          <w:lang w:eastAsia="zh-CN"/>
        </w:rPr>
        <w:t>；</w:t>
      </w:r>
    </w:p>
    <w:p w14:paraId="0BB8ABD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（19）《天津市大气污染防治条例》（2020年9月25日修订）；</w:t>
      </w:r>
    </w:p>
    <w:p w14:paraId="26A6C7B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（20）《天津市水污染防治条例》（2020年9月25日修订）；</w:t>
      </w:r>
    </w:p>
    <w:p w14:paraId="5A99E4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（21）《天津市土壤污染防治条例》</w:t>
      </w:r>
      <w:r>
        <w:rPr>
          <w:rFonts w:hint="eastAsia" w:ascii="Times New Roman" w:hAnsi="Times New Roman" w:eastAsia="仿宋" w:cs="Times New Roman"/>
          <w:color w:val="auto"/>
          <w:spacing w:val="0"/>
          <w:w w:val="100"/>
          <w:sz w:val="28"/>
          <w:szCs w:val="28"/>
          <w:lang w:eastAsia="zh-CN"/>
        </w:rPr>
        <w:t>（</w:t>
      </w:r>
      <w:r>
        <w:rPr>
          <w:rFonts w:hint="default" w:ascii="Times New Roman" w:hAnsi="Times New Roman" w:eastAsia="仿宋" w:cs="Times New Roman"/>
          <w:color w:val="auto"/>
          <w:spacing w:val="0"/>
          <w:w w:val="100"/>
          <w:sz w:val="28"/>
          <w:szCs w:val="28"/>
        </w:rPr>
        <w:t>2020年1月1日实施</w:t>
      </w:r>
      <w:r>
        <w:rPr>
          <w:rFonts w:hint="eastAsia" w:ascii="Times New Roman" w:hAnsi="Times New Roman" w:eastAsia="仿宋" w:cs="Times New Roman"/>
          <w:color w:val="auto"/>
          <w:spacing w:val="0"/>
          <w:w w:val="100"/>
          <w:sz w:val="28"/>
          <w:szCs w:val="28"/>
          <w:lang w:eastAsia="zh-CN"/>
        </w:rPr>
        <w:t>）</w:t>
      </w:r>
      <w:r>
        <w:rPr>
          <w:rFonts w:hint="default" w:ascii="Times New Roman" w:hAnsi="Times New Roman" w:eastAsia="仿宋" w:cs="Times New Roman"/>
          <w:color w:val="auto"/>
          <w:spacing w:val="0"/>
          <w:w w:val="100"/>
          <w:sz w:val="28"/>
          <w:szCs w:val="28"/>
        </w:rPr>
        <w:t>；</w:t>
      </w:r>
    </w:p>
    <w:p w14:paraId="46C4CB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（22）《天津市人民政府办公厅关于印发天津市森林火灾应急预案等14个专项应急预案的通知》（津政办规〔2022〕2号）；</w:t>
      </w:r>
    </w:p>
    <w:p w14:paraId="3A5C409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（23）《天津市人民政府关于印发天津市突发事件总体应急预案的通知》（津政规[2021]1号）；</w:t>
      </w:r>
    </w:p>
    <w:p w14:paraId="13D4A3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default" w:ascii="Times New Roman" w:hAnsi="Times New Roman" w:eastAsia="仿宋" w:cs="Times New Roman"/>
          <w:color w:val="auto"/>
          <w:spacing w:val="0"/>
          <w:w w:val="100"/>
          <w:sz w:val="28"/>
          <w:szCs w:val="28"/>
        </w:rPr>
      </w:pPr>
      <w:r>
        <w:rPr>
          <w:rFonts w:hint="default" w:ascii="Times New Roman" w:hAnsi="Times New Roman" w:eastAsia="仿宋" w:cs="Times New Roman"/>
          <w:color w:val="auto"/>
          <w:spacing w:val="0"/>
          <w:w w:val="100"/>
          <w:sz w:val="28"/>
          <w:szCs w:val="28"/>
        </w:rPr>
        <w:t>（24）《天津市滨海新区人民政府办公室关于印发天津市滨海新区突发环境事件应急预案的通知》（2022年9月3日）</w:t>
      </w:r>
    </w:p>
    <w:p w14:paraId="5DE24C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w:t>
      </w:r>
      <w:r>
        <w:rPr>
          <w:rFonts w:hint="eastAsia" w:ascii="Times New Roman" w:hAnsi="Times New Roman" w:eastAsia="仿宋" w:cs="Times New Roman"/>
          <w:color w:val="auto"/>
          <w:spacing w:val="0"/>
          <w:w w:val="100"/>
          <w:sz w:val="28"/>
          <w:szCs w:val="28"/>
          <w:lang w:val="en-US" w:eastAsia="zh-CN"/>
        </w:rPr>
        <w:t>25</w:t>
      </w:r>
      <w:r>
        <w:rPr>
          <w:rFonts w:hint="eastAsia" w:ascii="Times New Roman" w:hAnsi="Times New Roman" w:eastAsia="仿宋" w:cs="Times New Roman"/>
          <w:color w:val="auto"/>
          <w:spacing w:val="0"/>
          <w:w w:val="100"/>
          <w:sz w:val="28"/>
          <w:szCs w:val="28"/>
          <w:lang w:eastAsia="zh-CN"/>
        </w:rPr>
        <w:t>）市生态环境局关于印发《天津市生态环境局突发环境事件应急预案》的通知，（津环保障〔2023〕87号，2023年12月）。</w:t>
      </w:r>
    </w:p>
    <w:p w14:paraId="049EE031">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default" w:ascii="Times New Roman" w:hAnsi="Times New Roman" w:eastAsia="仿宋" w:cs="Times New Roman"/>
          <w:sz w:val="30"/>
          <w:szCs w:val="30"/>
          <w:lang w:eastAsia="zh-CN"/>
        </w:rPr>
      </w:pPr>
      <w:bookmarkStart w:id="6" w:name="_Toc24950"/>
      <w:r>
        <w:rPr>
          <w:rFonts w:hint="eastAsia" w:ascii="Times New Roman" w:hAnsi="Times New Roman" w:eastAsia="仿宋" w:cs="Times New Roman"/>
          <w:sz w:val="30"/>
          <w:szCs w:val="30"/>
          <w:lang w:val="en-US" w:eastAsia="zh-CN"/>
        </w:rPr>
        <w:t>技术规范</w:t>
      </w:r>
      <w:bookmarkEnd w:id="6"/>
    </w:p>
    <w:p w14:paraId="2D9AA89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44" w:firstLineChars="200"/>
        <w:jc w:val="both"/>
        <w:textAlignment w:val="baseline"/>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pacing w:val="-4"/>
          <w:sz w:val="28"/>
          <w:szCs w:val="28"/>
        </w:rPr>
        <w:t>（1）《企业突发环境事件风险评估指南（试行）》（环办[2014]34</w:t>
      </w:r>
      <w:r>
        <w:rPr>
          <w:rFonts w:hint="default" w:ascii="Times New Roman" w:hAnsi="Times New Roman" w:eastAsia="仿宋" w:cs="Times New Roman"/>
          <w:color w:val="auto"/>
          <w:spacing w:val="-25"/>
          <w:sz w:val="28"/>
          <w:szCs w:val="28"/>
        </w:rPr>
        <w:t>号</w:t>
      </w:r>
      <w:r>
        <w:rPr>
          <w:rFonts w:hint="default" w:ascii="Times New Roman" w:hAnsi="Times New Roman" w:eastAsia="仿宋" w:cs="Times New Roman"/>
          <w:color w:val="auto"/>
          <w:sz w:val="28"/>
          <w:szCs w:val="28"/>
        </w:rPr>
        <w:t>）</w:t>
      </w:r>
      <w:r>
        <w:rPr>
          <w:rFonts w:hint="default" w:ascii="Times New Roman" w:hAnsi="Times New Roman" w:eastAsia="仿宋" w:cs="Times New Roman"/>
          <w:color w:val="auto"/>
          <w:sz w:val="28"/>
          <w:szCs w:val="28"/>
          <w:lang w:eastAsia="zh-CN"/>
        </w:rPr>
        <w:t>；</w:t>
      </w:r>
    </w:p>
    <w:p w14:paraId="793BE8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48" w:firstLineChars="200"/>
        <w:jc w:val="both"/>
        <w:textAlignment w:val="baseline"/>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pacing w:val="-3"/>
          <w:sz w:val="28"/>
          <w:szCs w:val="28"/>
        </w:rPr>
        <w:t>（2）《环境应急资源调查指南（试行）》（环办应急[2019]17号</w:t>
      </w:r>
      <w:r>
        <w:rPr>
          <w:rFonts w:hint="default" w:ascii="Times New Roman" w:hAnsi="Times New Roman" w:eastAsia="仿宋" w:cs="Times New Roman"/>
          <w:color w:val="auto"/>
          <w:spacing w:val="-3"/>
          <w:sz w:val="28"/>
          <w:szCs w:val="28"/>
          <w:lang w:eastAsia="zh-CN"/>
        </w:rPr>
        <w:t>）</w:t>
      </w:r>
      <w:r>
        <w:rPr>
          <w:rFonts w:hint="eastAsia" w:ascii="Times New Roman" w:hAnsi="Times New Roman" w:eastAsia="仿宋" w:cs="Times New Roman"/>
          <w:color w:val="auto"/>
          <w:spacing w:val="-3"/>
          <w:sz w:val="28"/>
          <w:szCs w:val="28"/>
          <w:lang w:eastAsia="zh-CN"/>
        </w:rPr>
        <w:t>；</w:t>
      </w:r>
    </w:p>
    <w:p w14:paraId="0673D8E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6" w:firstLineChars="200"/>
        <w:jc w:val="both"/>
        <w:textAlignment w:val="baseline"/>
        <w:rPr>
          <w:rFonts w:hint="default" w:ascii="Times New Roman" w:hAnsi="Times New Roman" w:eastAsia="仿宋" w:cs="Times New Roman"/>
          <w:color w:val="auto"/>
          <w:spacing w:val="-1"/>
          <w:sz w:val="28"/>
          <w:szCs w:val="28"/>
        </w:rPr>
      </w:pPr>
      <w:r>
        <w:rPr>
          <w:rFonts w:hint="default" w:ascii="Times New Roman" w:hAnsi="Times New Roman" w:eastAsia="仿宋" w:cs="Times New Roman"/>
          <w:color w:val="auto"/>
          <w:spacing w:val="-1"/>
          <w:sz w:val="28"/>
          <w:szCs w:val="28"/>
        </w:rPr>
        <w:t>（3）《企业突发环境事件风险分级方法》（HJ 941-2018）；</w:t>
      </w:r>
    </w:p>
    <w:p w14:paraId="1B55AC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6" w:firstLineChars="200"/>
        <w:jc w:val="both"/>
        <w:textAlignment w:val="baseline"/>
        <w:rPr>
          <w:rFonts w:hint="default" w:ascii="Times New Roman" w:hAnsi="Times New Roman" w:eastAsia="仿宋" w:cs="Times New Roman"/>
          <w:color w:val="auto"/>
          <w:spacing w:val="-1"/>
          <w:sz w:val="28"/>
          <w:szCs w:val="28"/>
        </w:rPr>
      </w:pPr>
      <w:r>
        <w:rPr>
          <w:rFonts w:hint="default" w:ascii="Times New Roman" w:hAnsi="Times New Roman" w:eastAsia="仿宋" w:cs="Times New Roman"/>
          <w:color w:val="auto"/>
          <w:spacing w:val="-1"/>
          <w:sz w:val="28"/>
          <w:szCs w:val="28"/>
        </w:rPr>
        <w:t>（4）《危险化学品仓库储存通则》</w:t>
      </w:r>
      <w:r>
        <w:rPr>
          <w:rFonts w:hint="eastAsia" w:ascii="Times New Roman" w:hAnsi="Times New Roman" w:eastAsia="仿宋" w:cs="Times New Roman"/>
          <w:color w:val="auto"/>
          <w:spacing w:val="-1"/>
          <w:sz w:val="28"/>
          <w:szCs w:val="28"/>
          <w:lang w:eastAsia="zh-CN"/>
        </w:rPr>
        <w:t>（</w:t>
      </w:r>
      <w:r>
        <w:rPr>
          <w:rFonts w:hint="default" w:ascii="Times New Roman" w:hAnsi="Times New Roman" w:eastAsia="仿宋" w:cs="Times New Roman"/>
          <w:color w:val="auto"/>
          <w:spacing w:val="-1"/>
          <w:sz w:val="28"/>
          <w:szCs w:val="28"/>
        </w:rPr>
        <w:t>GB</w:t>
      </w:r>
      <w:r>
        <w:rPr>
          <w:rFonts w:hint="eastAsia" w:ascii="Times New Roman" w:hAnsi="Times New Roman" w:eastAsia="仿宋" w:cs="Times New Roman"/>
          <w:color w:val="auto"/>
          <w:spacing w:val="-1"/>
          <w:sz w:val="28"/>
          <w:szCs w:val="28"/>
          <w:lang w:val="en-US" w:eastAsia="zh-CN"/>
        </w:rPr>
        <w:t xml:space="preserve"> </w:t>
      </w:r>
      <w:r>
        <w:rPr>
          <w:rFonts w:hint="default" w:ascii="Times New Roman" w:hAnsi="Times New Roman" w:eastAsia="仿宋" w:cs="Times New Roman"/>
          <w:color w:val="auto"/>
          <w:spacing w:val="-1"/>
          <w:sz w:val="28"/>
          <w:szCs w:val="28"/>
        </w:rPr>
        <w:t>15603-2022</w:t>
      </w:r>
      <w:r>
        <w:rPr>
          <w:rFonts w:hint="eastAsia" w:ascii="Times New Roman" w:hAnsi="Times New Roman" w:eastAsia="仿宋" w:cs="Times New Roman"/>
          <w:color w:val="auto"/>
          <w:spacing w:val="-1"/>
          <w:sz w:val="28"/>
          <w:szCs w:val="28"/>
          <w:lang w:eastAsia="zh-CN"/>
        </w:rPr>
        <w:t>）</w:t>
      </w:r>
      <w:r>
        <w:rPr>
          <w:rFonts w:hint="default" w:ascii="Times New Roman" w:hAnsi="Times New Roman" w:eastAsia="仿宋" w:cs="Times New Roman"/>
          <w:color w:val="auto"/>
          <w:spacing w:val="-1"/>
          <w:sz w:val="28"/>
          <w:szCs w:val="28"/>
        </w:rPr>
        <w:t>；</w:t>
      </w:r>
    </w:p>
    <w:p w14:paraId="7218AC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28" w:firstLineChars="200"/>
        <w:jc w:val="both"/>
        <w:textAlignment w:val="baseline"/>
        <w:rPr>
          <w:rFonts w:hint="default" w:ascii="Times New Roman" w:hAnsi="Times New Roman" w:eastAsia="仿宋" w:cs="Times New Roman"/>
          <w:color w:val="auto"/>
          <w:sz w:val="28"/>
          <w:szCs w:val="28"/>
          <w:lang w:eastAsia="zh-CN"/>
        </w:rPr>
      </w:pPr>
      <w:r>
        <w:rPr>
          <w:rFonts w:hint="default" w:ascii="Times New Roman" w:hAnsi="Times New Roman" w:eastAsia="仿宋" w:cs="Times New Roman"/>
          <w:color w:val="auto"/>
          <w:spacing w:val="-8"/>
          <w:sz w:val="28"/>
          <w:szCs w:val="28"/>
        </w:rPr>
        <w:t>（5）《危险化学品单位应急救援物资配备要求》（GB</w:t>
      </w:r>
      <w:r>
        <w:rPr>
          <w:rFonts w:hint="eastAsia" w:ascii="Times New Roman" w:hAnsi="Times New Roman" w:eastAsia="仿宋" w:cs="Times New Roman"/>
          <w:color w:val="auto"/>
          <w:spacing w:val="-8"/>
          <w:sz w:val="28"/>
          <w:szCs w:val="28"/>
          <w:lang w:val="en-US" w:eastAsia="zh-CN"/>
        </w:rPr>
        <w:t xml:space="preserve"> </w:t>
      </w:r>
      <w:r>
        <w:rPr>
          <w:rFonts w:hint="default" w:ascii="Times New Roman" w:hAnsi="Times New Roman" w:eastAsia="仿宋" w:cs="Times New Roman"/>
          <w:color w:val="auto"/>
          <w:spacing w:val="-8"/>
          <w:sz w:val="28"/>
          <w:szCs w:val="28"/>
        </w:rPr>
        <w:t>30077-20</w:t>
      </w:r>
      <w:r>
        <w:rPr>
          <w:rFonts w:hint="eastAsia" w:ascii="Times New Roman" w:hAnsi="Times New Roman" w:eastAsia="仿宋" w:cs="Times New Roman"/>
          <w:color w:val="auto"/>
          <w:spacing w:val="-8"/>
          <w:sz w:val="28"/>
          <w:szCs w:val="28"/>
          <w:lang w:val="en-US" w:eastAsia="zh-CN"/>
        </w:rPr>
        <w:t>2</w:t>
      </w:r>
      <w:r>
        <w:rPr>
          <w:rFonts w:hint="default" w:ascii="Times New Roman" w:hAnsi="Times New Roman" w:eastAsia="仿宋" w:cs="Times New Roman"/>
          <w:color w:val="auto"/>
          <w:spacing w:val="-8"/>
          <w:sz w:val="28"/>
          <w:szCs w:val="28"/>
        </w:rPr>
        <w:t>3</w:t>
      </w:r>
      <w:r>
        <w:rPr>
          <w:rFonts w:hint="default" w:ascii="Times New Roman" w:hAnsi="Times New Roman" w:eastAsia="仿宋" w:cs="Times New Roman"/>
          <w:color w:val="auto"/>
          <w:spacing w:val="-70"/>
          <w:w w:val="89"/>
          <w:sz w:val="28"/>
          <w:szCs w:val="28"/>
          <w:lang w:eastAsia="zh-CN"/>
        </w:rPr>
        <w:t>）</w:t>
      </w:r>
      <w:r>
        <w:rPr>
          <w:rFonts w:hint="eastAsia" w:ascii="Times New Roman" w:hAnsi="Times New Roman" w:eastAsia="仿宋" w:cs="Times New Roman"/>
          <w:color w:val="auto"/>
          <w:spacing w:val="-70"/>
          <w:w w:val="89"/>
          <w:sz w:val="28"/>
          <w:szCs w:val="28"/>
          <w:lang w:eastAsia="zh-CN"/>
        </w:rPr>
        <w:t>；</w:t>
      </w:r>
    </w:p>
    <w:p w14:paraId="140A28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6" w:firstLineChars="200"/>
        <w:jc w:val="both"/>
        <w:textAlignment w:val="baseline"/>
        <w:rPr>
          <w:rFonts w:hint="eastAsia" w:ascii="Times New Roman" w:hAnsi="Times New Roman" w:eastAsia="仿宋" w:cs="Times New Roman"/>
          <w:color w:val="auto"/>
          <w:sz w:val="28"/>
          <w:szCs w:val="28"/>
          <w:lang w:eastAsia="zh-CN"/>
        </w:rPr>
      </w:pPr>
      <w:r>
        <w:rPr>
          <w:rFonts w:hint="default" w:ascii="Times New Roman" w:hAnsi="Times New Roman" w:eastAsia="仿宋" w:cs="Times New Roman"/>
          <w:color w:val="auto"/>
          <w:spacing w:val="-1"/>
          <w:sz w:val="28"/>
          <w:szCs w:val="28"/>
        </w:rPr>
        <w:t>（6）《突发环境事件应急监测技术规范》（HJ 589-2021）</w:t>
      </w:r>
      <w:r>
        <w:rPr>
          <w:rFonts w:hint="eastAsia" w:ascii="Times New Roman" w:hAnsi="Times New Roman" w:eastAsia="仿宋" w:cs="Times New Roman"/>
          <w:color w:val="auto"/>
          <w:spacing w:val="-1"/>
          <w:sz w:val="28"/>
          <w:szCs w:val="28"/>
          <w:lang w:eastAsia="zh-CN"/>
        </w:rPr>
        <w:t>；</w:t>
      </w:r>
    </w:p>
    <w:p w14:paraId="04DD9C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2" w:firstLineChars="200"/>
        <w:jc w:val="both"/>
        <w:textAlignment w:val="baseline"/>
        <w:rPr>
          <w:rFonts w:hint="default" w:ascii="Times New Roman" w:hAnsi="Times New Roman" w:eastAsia="仿宋" w:cs="Times New Roman"/>
          <w:color w:val="auto"/>
          <w:spacing w:val="-2"/>
          <w:sz w:val="28"/>
          <w:szCs w:val="28"/>
        </w:rPr>
      </w:pPr>
      <w:r>
        <w:rPr>
          <w:rFonts w:hint="default" w:ascii="Times New Roman" w:hAnsi="Times New Roman" w:eastAsia="仿宋" w:cs="Times New Roman"/>
          <w:color w:val="auto"/>
          <w:spacing w:val="-2"/>
          <w:sz w:val="28"/>
          <w:szCs w:val="28"/>
        </w:rPr>
        <w:t>（7）《建设项目环境风险评价技术导则》（HJ</w:t>
      </w:r>
      <w:r>
        <w:rPr>
          <w:rFonts w:hint="default" w:ascii="Times New Roman" w:hAnsi="Times New Roman" w:eastAsia="仿宋" w:cs="Times New Roman"/>
          <w:color w:val="auto"/>
          <w:spacing w:val="43"/>
          <w:sz w:val="28"/>
          <w:szCs w:val="28"/>
        </w:rPr>
        <w:t xml:space="preserve"> </w:t>
      </w:r>
      <w:r>
        <w:rPr>
          <w:rFonts w:hint="default" w:ascii="Times New Roman" w:hAnsi="Times New Roman" w:eastAsia="仿宋" w:cs="Times New Roman"/>
          <w:color w:val="auto"/>
          <w:spacing w:val="-2"/>
          <w:sz w:val="28"/>
          <w:szCs w:val="28"/>
        </w:rPr>
        <w:t>169-2018）</w:t>
      </w:r>
    </w:p>
    <w:p w14:paraId="3E80723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2" w:firstLineChars="200"/>
        <w:jc w:val="both"/>
        <w:textAlignment w:val="baseline"/>
        <w:rPr>
          <w:rFonts w:hint="eastAsia" w:ascii="Times New Roman" w:hAnsi="Times New Roman" w:eastAsia="仿宋" w:cs="Times New Roman"/>
          <w:color w:val="auto"/>
          <w:spacing w:val="-2"/>
          <w:sz w:val="28"/>
          <w:szCs w:val="28"/>
          <w:lang w:eastAsia="zh-CN"/>
        </w:rPr>
      </w:pPr>
      <w:r>
        <w:rPr>
          <w:rFonts w:hint="eastAsia" w:ascii="Times New Roman" w:hAnsi="Times New Roman" w:eastAsia="仿宋" w:cs="Times New Roman"/>
          <w:color w:val="auto"/>
          <w:spacing w:val="-2"/>
          <w:sz w:val="28"/>
          <w:szCs w:val="28"/>
          <w:lang w:eastAsia="zh-CN"/>
        </w:rPr>
        <w:t>（</w:t>
      </w:r>
      <w:r>
        <w:rPr>
          <w:rFonts w:hint="eastAsia" w:ascii="Times New Roman" w:hAnsi="Times New Roman" w:eastAsia="仿宋" w:cs="Times New Roman"/>
          <w:color w:val="auto"/>
          <w:spacing w:val="-2"/>
          <w:sz w:val="28"/>
          <w:szCs w:val="28"/>
          <w:lang w:val="en-US" w:eastAsia="zh-CN"/>
        </w:rPr>
        <w:t>8</w:t>
      </w:r>
      <w:r>
        <w:rPr>
          <w:rFonts w:hint="eastAsia" w:ascii="Times New Roman" w:hAnsi="Times New Roman" w:eastAsia="仿宋" w:cs="Times New Roman"/>
          <w:color w:val="auto"/>
          <w:spacing w:val="-2"/>
          <w:sz w:val="28"/>
          <w:szCs w:val="28"/>
          <w:lang w:eastAsia="zh-CN"/>
        </w:rPr>
        <w:t>）《国家危险废物名录》（部令第36号，2025版）；</w:t>
      </w:r>
    </w:p>
    <w:p w14:paraId="132937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52" w:firstLineChars="200"/>
        <w:jc w:val="both"/>
        <w:textAlignment w:val="baseline"/>
        <w:rPr>
          <w:rFonts w:hint="eastAsia" w:ascii="Times New Roman" w:hAnsi="Times New Roman" w:eastAsia="仿宋" w:cs="Times New Roman"/>
          <w:color w:val="auto"/>
          <w:sz w:val="28"/>
          <w:szCs w:val="28"/>
          <w:lang w:val="en-US" w:eastAsia="zh-CN"/>
        </w:rPr>
      </w:pPr>
      <w:r>
        <w:rPr>
          <w:rFonts w:hint="eastAsia" w:ascii="Times New Roman" w:hAnsi="Times New Roman" w:eastAsia="仿宋" w:cs="Times New Roman"/>
          <w:color w:val="auto"/>
          <w:spacing w:val="-2"/>
          <w:sz w:val="28"/>
          <w:szCs w:val="28"/>
          <w:lang w:eastAsia="zh-CN"/>
        </w:rPr>
        <w:t>（</w:t>
      </w:r>
      <w:r>
        <w:rPr>
          <w:rFonts w:hint="eastAsia" w:ascii="Times New Roman" w:hAnsi="Times New Roman" w:eastAsia="仿宋" w:cs="Times New Roman"/>
          <w:color w:val="auto"/>
          <w:spacing w:val="-2"/>
          <w:sz w:val="28"/>
          <w:szCs w:val="28"/>
          <w:lang w:val="en-US" w:eastAsia="zh-CN"/>
        </w:rPr>
        <w:t>9</w:t>
      </w:r>
      <w:r>
        <w:rPr>
          <w:rFonts w:hint="eastAsia" w:ascii="Times New Roman" w:hAnsi="Times New Roman" w:eastAsia="仿宋" w:cs="Times New Roman"/>
          <w:color w:val="auto"/>
          <w:spacing w:val="-2"/>
          <w:sz w:val="28"/>
          <w:szCs w:val="28"/>
          <w:lang w:eastAsia="zh-CN"/>
        </w:rPr>
        <w:t>）《突发环境事件应急监测技术规范》（HJ</w:t>
      </w:r>
      <w:r>
        <w:rPr>
          <w:rFonts w:hint="eastAsia" w:ascii="Times New Roman" w:hAnsi="Times New Roman" w:eastAsia="仿宋" w:cs="Times New Roman"/>
          <w:color w:val="auto"/>
          <w:spacing w:val="-2"/>
          <w:sz w:val="28"/>
          <w:szCs w:val="28"/>
          <w:lang w:val="en-US" w:eastAsia="zh-CN"/>
        </w:rPr>
        <w:t xml:space="preserve"> </w:t>
      </w:r>
      <w:r>
        <w:rPr>
          <w:rFonts w:hint="eastAsia" w:ascii="Times New Roman" w:hAnsi="Times New Roman" w:eastAsia="仿宋" w:cs="Times New Roman"/>
          <w:color w:val="auto"/>
          <w:spacing w:val="-2"/>
          <w:sz w:val="28"/>
          <w:szCs w:val="28"/>
          <w:lang w:eastAsia="zh-CN"/>
        </w:rPr>
        <w:t>589-2021）。</w:t>
      </w:r>
    </w:p>
    <w:p w14:paraId="5CF551C4">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default" w:ascii="Times New Roman" w:hAnsi="Times New Roman" w:eastAsia="仿宋" w:cs="Times New Roman"/>
          <w:sz w:val="30"/>
          <w:szCs w:val="30"/>
          <w:lang w:eastAsia="zh-CN"/>
        </w:rPr>
      </w:pPr>
      <w:bookmarkStart w:id="7" w:name="_Toc19625"/>
      <w:r>
        <w:rPr>
          <w:rFonts w:hint="eastAsia" w:ascii="Times New Roman" w:hAnsi="Times New Roman" w:eastAsia="仿宋" w:cs="Times New Roman"/>
          <w:sz w:val="30"/>
          <w:szCs w:val="30"/>
          <w:lang w:val="en-US" w:eastAsia="zh-CN"/>
        </w:rPr>
        <w:t>其他文件</w:t>
      </w:r>
      <w:bookmarkEnd w:id="7"/>
    </w:p>
    <w:p w14:paraId="3F038640">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zh-CN"/>
        </w:rPr>
      </w:pPr>
      <w:r>
        <w:rPr>
          <w:rFonts w:hint="eastAsia" w:ascii="Times New Roman" w:hAnsi="Times New Roman" w:eastAsia="仿宋" w:cs="Times New Roman"/>
          <w:color w:val="auto"/>
          <w:spacing w:val="0"/>
          <w:w w:val="100"/>
          <w:sz w:val="28"/>
          <w:szCs w:val="28"/>
          <w:lang w:eastAsia="zh-CN"/>
        </w:rPr>
        <w:t>《天津立中轻合金锻造有限公司商用车车轮、乘用车车轮、汽车轮毅毛坯件104万只年及小配件50万只年生产线项目环境影响报告表》（</w:t>
      </w:r>
      <w:r>
        <w:rPr>
          <w:rFonts w:hint="eastAsia" w:ascii="Times New Roman" w:hAnsi="Times New Roman" w:eastAsia="仿宋" w:cs="Times New Roman"/>
          <w:color w:val="auto"/>
          <w:spacing w:val="0"/>
          <w:w w:val="100"/>
          <w:sz w:val="28"/>
          <w:szCs w:val="28"/>
          <w:lang w:val="en-US" w:eastAsia="zh-CN"/>
        </w:rPr>
        <w:t>2023年2月</w:t>
      </w:r>
      <w:r>
        <w:rPr>
          <w:rFonts w:hint="eastAsia" w:ascii="Times New Roman" w:hAnsi="Times New Roman" w:eastAsia="仿宋" w:cs="Times New Roman"/>
          <w:color w:val="auto"/>
          <w:spacing w:val="0"/>
          <w:w w:val="100"/>
          <w:sz w:val="28"/>
          <w:szCs w:val="28"/>
          <w:lang w:eastAsia="zh-CN"/>
        </w:rPr>
        <w:t>）</w:t>
      </w:r>
      <w:r>
        <w:rPr>
          <w:rFonts w:hint="eastAsia" w:ascii="Times New Roman" w:hAnsi="Times New Roman" w:eastAsia="仿宋" w:cs="Times New Roman"/>
          <w:color w:val="auto"/>
          <w:spacing w:val="0"/>
          <w:w w:val="100"/>
          <w:sz w:val="28"/>
          <w:szCs w:val="28"/>
          <w:lang w:val="en-US" w:eastAsia="zh-CN"/>
        </w:rPr>
        <w:t>及批复（津开环评[2023]24号）；</w:t>
      </w:r>
    </w:p>
    <w:p w14:paraId="70A9E9D9">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zh-CN"/>
        </w:rPr>
      </w:pPr>
      <w:r>
        <w:rPr>
          <w:rFonts w:hint="eastAsia" w:ascii="Times New Roman" w:hAnsi="Times New Roman" w:eastAsia="仿宋" w:cs="Times New Roman"/>
          <w:color w:val="auto"/>
          <w:spacing w:val="0"/>
          <w:w w:val="100"/>
          <w:sz w:val="28"/>
          <w:szCs w:val="28"/>
          <w:lang w:val="en-US" w:eastAsia="zh-CN"/>
        </w:rPr>
        <w:t>本公司突发环境事件环境应急预案（2023年修订版）及相关配套报告；</w:t>
      </w:r>
    </w:p>
    <w:p w14:paraId="5036E709">
      <w:pPr>
        <w:keepNext w:val="0"/>
        <w:keepLines w:val="0"/>
        <w:pageBreakBefore w:val="0"/>
        <w:widowControl/>
        <w:numPr>
          <w:ilvl w:val="0"/>
          <w:numId w:val="2"/>
        </w:numPr>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zh-CN"/>
        </w:rPr>
      </w:pPr>
      <w:r>
        <w:rPr>
          <w:rFonts w:hint="eastAsia" w:ascii="Times New Roman" w:hAnsi="Times New Roman" w:eastAsia="仿宋" w:cs="Times New Roman"/>
          <w:color w:val="auto"/>
          <w:spacing w:val="0"/>
          <w:w w:val="100"/>
          <w:sz w:val="28"/>
          <w:szCs w:val="28"/>
          <w:lang w:val="en-US" w:eastAsia="zh-CN"/>
        </w:rPr>
        <w:t>其它技术资料</w:t>
      </w:r>
    </w:p>
    <w:p w14:paraId="369E5C69">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8" w:name="_Toc26233"/>
      <w:r>
        <w:rPr>
          <w:rFonts w:hint="eastAsia" w:ascii="Times New Roman" w:hAnsi="Times New Roman" w:eastAsia="仿宋" w:cs="Times New Roman"/>
          <w:snapToGrid/>
          <w:sz w:val="30"/>
          <w:szCs w:val="30"/>
          <w:highlight w:val="none"/>
          <w:lang w:eastAsia="zh-CN"/>
        </w:rPr>
        <w:t>适用范围</w:t>
      </w:r>
      <w:bookmarkEnd w:id="8"/>
    </w:p>
    <w:p w14:paraId="7832EC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本次修订的预案适用范围与修订前一致，仍适用于公司在天津经济技术开发区西区租赁的天津立中车轮有限公司厂区可能发生的危险物质泄漏、火灾次生/伴生的环境污染事故等突发事故的应急，不包括重污染天气应急预案。本预案主要工作内容包括应急组织机构设置、预警与信息报送、应急响应、后期处置、培训和演练等内容。</w:t>
      </w:r>
    </w:p>
    <w:p w14:paraId="356BE2E4">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9" w:name="_Toc11965"/>
      <w:r>
        <w:rPr>
          <w:rFonts w:hint="eastAsia" w:ascii="Times New Roman" w:hAnsi="Times New Roman" w:eastAsia="仿宋" w:cs="Times New Roman"/>
          <w:snapToGrid/>
          <w:sz w:val="30"/>
          <w:szCs w:val="30"/>
          <w:highlight w:val="none"/>
          <w:lang w:eastAsia="zh-CN"/>
        </w:rPr>
        <w:t>工作原则</w:t>
      </w:r>
      <w:bookmarkEnd w:id="9"/>
    </w:p>
    <w:p w14:paraId="3A2CCEF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（1）以人为本，安全第一。把保障员工的人身安全和身体健康放在首位，防止事故扩大，减少事故影响，切实加强企业员工的安全防护，最大限度地减少事故灾难造成的人员伤亡和危害；</w:t>
      </w:r>
    </w:p>
    <w:p w14:paraId="2E6973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（2）预防为主，平战结合。做好事故预防、预警和预报工作。定期开展培训教育，组织应急演练，提高企业员工的安全意识，做好物资和技术储备工作。做好社会宣传，提高周边公众的安全意识；</w:t>
      </w:r>
    </w:p>
    <w:p w14:paraId="6C40133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（3）快速响应，果断处置。环境突发事件的发生具有很强的突发性，按照分级响应的原则快速启动相应的应急预案；</w:t>
      </w:r>
    </w:p>
    <w:p w14:paraId="3F4B7BC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（4）统一领导，分级负责。在天津经济技术开发区应急指挥中心的统一领导下，公司应急救援指挥部负责现场指挥应急救援工作，相关部门按照各自职责和权限，负责事故的应急处置工作。</w:t>
      </w:r>
    </w:p>
    <w:p w14:paraId="3533CA9B">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10" w:name="_Toc23814"/>
      <w:r>
        <w:rPr>
          <w:rFonts w:hint="eastAsia" w:ascii="Times New Roman" w:hAnsi="Times New Roman" w:eastAsia="仿宋" w:cs="Times New Roman"/>
          <w:snapToGrid/>
          <w:sz w:val="30"/>
          <w:szCs w:val="30"/>
          <w:highlight w:val="none"/>
          <w:lang w:eastAsia="zh-CN"/>
        </w:rPr>
        <w:t>预案体系说明</w:t>
      </w:r>
      <w:bookmarkEnd w:id="10"/>
    </w:p>
    <w:p w14:paraId="5DB600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天津立中轻合金锻造有限公司突发环境事件应急预案》与《天津立中轻合金锻造有限公司生产安全事故综合应急预案》以及《生产安全事故专项应急预案》共同构成公司的应急预案体系。突发环境事件应急预案与生产安全事故综合应急预案、专项应急预案相互衔接，当发生环境风险物质泄漏事故或火灾事故时，各应急处置队伍按照专项应急预案的要求进行现场处置、隔离疏散和安全救护。同时环境应急预案为生产安全事故的延伸、补充，专门设置环境应急组实施雨水排放口临时截断、协助应急监测等处置动作，在事故安全处置的同时不对外环境造成污染。</w:t>
      </w:r>
    </w:p>
    <w:p w14:paraId="44AFB15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公司突发环境事件应急预案与天津立中车轮有限公司突发环境事件应急预案、天津经济技术开发区突发环境事件应急预案联动，当公司突发环境事件超出本公司处置能力时，应急总指挥报告天津经济技术开发区生态环境局。同时，天津经济技术开发区突发环境事件应急预案对公司突发环境事件应急预案提供指导，天津立中车轮有限公司突发环境事件应急预案对公司突发环境事件应急预案提供协助。公司内部应急预案体系及其外部预案关系图如下：</w:t>
      </w:r>
    </w:p>
    <w:p w14:paraId="73E9AD4E">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rPr>
          <w:rFonts w:hint="eastAsia" w:ascii="Times New Roman" w:hAnsi="Times New Roman" w:eastAsia="仿宋" w:cs="Times New Roman"/>
          <w:color w:val="auto"/>
          <w:spacing w:val="0"/>
          <w:w w:val="100"/>
          <w:sz w:val="28"/>
          <w:szCs w:val="28"/>
          <w:lang w:eastAsia="zh-CN"/>
        </w:rPr>
      </w:pPr>
      <w:r>
        <w:drawing>
          <wp:inline distT="0" distB="0" distL="114300" distR="114300">
            <wp:extent cx="5214620" cy="3228975"/>
            <wp:effectExtent l="0" t="0" r="5080" b="952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7"/>
                    <a:stretch>
                      <a:fillRect/>
                    </a:stretch>
                  </pic:blipFill>
                  <pic:spPr>
                    <a:xfrm>
                      <a:off x="0" y="0"/>
                      <a:ext cx="5214620" cy="3228975"/>
                    </a:xfrm>
                    <a:prstGeom prst="rect">
                      <a:avLst/>
                    </a:prstGeom>
                    <a:noFill/>
                    <a:ln>
                      <a:noFill/>
                    </a:ln>
                  </pic:spPr>
                </pic:pic>
              </a:graphicData>
            </a:graphic>
          </wp:inline>
        </w:drawing>
      </w:r>
    </w:p>
    <w:p w14:paraId="437C4C9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default" w:ascii="Times New Roman" w:hAnsi="Times New Roman" w:eastAsia="仿宋" w:cs="Times New Roman"/>
          <w:b/>
          <w:bCs/>
          <w:color w:val="auto"/>
          <w:spacing w:val="-7"/>
          <w:sz w:val="24"/>
          <w:szCs w:val="24"/>
        </w:rPr>
        <w:t>图1</w:t>
      </w:r>
      <w:r>
        <w:rPr>
          <w:rFonts w:hint="eastAsia" w:ascii="Times New Roman" w:hAnsi="Times New Roman" w:eastAsia="仿宋" w:cs="Times New Roman"/>
          <w:b/>
          <w:bCs/>
          <w:color w:val="auto"/>
          <w:spacing w:val="-7"/>
          <w:sz w:val="24"/>
          <w:szCs w:val="24"/>
          <w:lang w:val="en-US" w:eastAsia="zh-CN"/>
        </w:rPr>
        <w:t>.5</w:t>
      </w:r>
      <w:r>
        <w:rPr>
          <w:rFonts w:hint="default" w:ascii="Times New Roman" w:hAnsi="Times New Roman" w:eastAsia="仿宋" w:cs="Times New Roman"/>
          <w:b/>
          <w:bCs/>
          <w:color w:val="auto"/>
          <w:spacing w:val="-7"/>
          <w:sz w:val="24"/>
          <w:szCs w:val="24"/>
        </w:rPr>
        <w:t xml:space="preserve">-1 </w:t>
      </w:r>
      <w:r>
        <w:rPr>
          <w:rFonts w:hint="eastAsia" w:ascii="Times New Roman" w:hAnsi="Times New Roman" w:eastAsia="仿宋" w:cs="Times New Roman"/>
          <w:b/>
          <w:bCs/>
          <w:color w:val="auto"/>
          <w:spacing w:val="-7"/>
          <w:sz w:val="24"/>
          <w:szCs w:val="24"/>
        </w:rPr>
        <w:t>公司应急预案体系及其与外部预案关系图</w:t>
      </w:r>
    </w:p>
    <w:p w14:paraId="2F26D94A">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11" w:name="_Toc9311"/>
      <w:r>
        <w:rPr>
          <w:rFonts w:hint="eastAsia" w:ascii="Times New Roman" w:hAnsi="Times New Roman" w:eastAsia="仿宋" w:cs="Times New Roman"/>
          <w:snapToGrid/>
          <w:sz w:val="30"/>
          <w:szCs w:val="30"/>
          <w:highlight w:val="none"/>
          <w:lang w:eastAsia="zh-CN"/>
        </w:rPr>
        <w:t>事故分级说明</w:t>
      </w:r>
      <w:bookmarkEnd w:id="11"/>
    </w:p>
    <w:p w14:paraId="7BB05A8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根据突发环境事故的严重程度和影响范围以及企业自身的应对能力，将厂区突发环境事故分为车间级、公司级和社会级三级。</w:t>
      </w:r>
    </w:p>
    <w:p w14:paraId="30CB69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车间级事故是现场范围内可控制的小事故，主要包括用灭火器可以控制的小型火灾、有毒有害化学品泄漏事故（厂区涉及的有毒有害化学品量均不大，均属于小量泄漏）。</w:t>
      </w:r>
    </w:p>
    <w:p w14:paraId="11B7C7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公司级事故是现场事故比较严重，但事故影响尚未超出厂区或公司有能力对事故进行控制，主要包括厂区可控的火灾事故。</w:t>
      </w:r>
    </w:p>
    <w:p w14:paraId="22AD37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社会级事故是现场发生了非常严重的紧急情况，事故已经超出了企业的边界或公司对事故影响将难以应对。事故情景主要包括厂区发生大面积火灾事故、消防废水经雨水管网外排的情景。</w:t>
      </w:r>
    </w:p>
    <w:p w14:paraId="0D4ABB57">
      <w:pPr>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br w:type="page"/>
      </w:r>
    </w:p>
    <w:p w14:paraId="36FC5D74">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12" w:name="bookmark50"/>
      <w:bookmarkEnd w:id="12"/>
      <w:bookmarkStart w:id="13" w:name="_Toc24928"/>
      <w:r>
        <w:rPr>
          <w:rFonts w:hint="eastAsia" w:ascii="Times New Roman" w:hAnsi="Times New Roman" w:eastAsia="仿宋" w:cs="Times New Roman"/>
          <w:snapToGrid/>
          <w:highlight w:val="none"/>
          <w:lang w:eastAsia="zh-CN"/>
        </w:rPr>
        <w:t>基本情况</w:t>
      </w:r>
      <w:bookmarkEnd w:id="13"/>
    </w:p>
    <w:p w14:paraId="01012CAE">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14" w:name="_Toc5161"/>
      <w:r>
        <w:rPr>
          <w:rFonts w:hint="eastAsia" w:ascii="Times New Roman" w:hAnsi="Times New Roman" w:eastAsia="仿宋" w:cs="Times New Roman"/>
          <w:snapToGrid/>
          <w:sz w:val="30"/>
          <w:szCs w:val="30"/>
          <w:highlight w:val="none"/>
          <w:lang w:eastAsia="zh-CN"/>
        </w:rPr>
        <w:t>企业基本情况</w:t>
      </w:r>
      <w:bookmarkEnd w:id="14"/>
    </w:p>
    <w:p w14:paraId="70E1B037">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15" w:name="_Toc5531"/>
      <w:r>
        <w:rPr>
          <w:rFonts w:hint="eastAsia" w:ascii="Times New Roman" w:hAnsi="Times New Roman" w:eastAsia="仿宋" w:cs="Times New Roman"/>
          <w:sz w:val="30"/>
          <w:szCs w:val="30"/>
          <w:lang w:eastAsia="zh-CN"/>
        </w:rPr>
        <w:t>企业概况</w:t>
      </w:r>
      <w:bookmarkEnd w:id="15"/>
    </w:p>
    <w:p w14:paraId="454978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企业名称：天津立中轻合金锻造有限公司</w:t>
      </w:r>
    </w:p>
    <w:p w14:paraId="64DD81F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企业地址：天津经济技术开发区西区光华街58号</w:t>
      </w:r>
    </w:p>
    <w:p w14:paraId="689AC2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企业法人：臧永兴</w:t>
      </w:r>
    </w:p>
    <w:p w14:paraId="6F90746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组织机构代码：91120116671457175N</w:t>
      </w:r>
    </w:p>
    <w:p w14:paraId="63BEDA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企业性质：有限责任公司</w:t>
      </w:r>
    </w:p>
    <w:p w14:paraId="30CCDBD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行业类别：汽车零配件制造</w:t>
      </w:r>
    </w:p>
    <w:p w14:paraId="0D6B8F3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天津立中轻合金锻造有限公司租用天津立中车轮有限公司厂区三期厂房进行模具、汽车轮毂毛坯件及成品、法兰盘等小配件生产。公司主要工程内容详见下表。</w:t>
      </w:r>
    </w:p>
    <w:p w14:paraId="120B9E6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表2.1-1 主要工程内容一览表</w:t>
      </w:r>
    </w:p>
    <w:tbl>
      <w:tblPr>
        <w:tblStyle w:val="18"/>
        <w:tblW w:w="8357"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802"/>
        <w:gridCol w:w="1528"/>
        <w:gridCol w:w="6027"/>
      </w:tblGrid>
      <w:tr w14:paraId="6CB718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11" w:hRule="atLeast"/>
          <w:jc w:val="center"/>
        </w:trPr>
        <w:tc>
          <w:tcPr>
            <w:tcW w:w="2330" w:type="dxa"/>
            <w:gridSpan w:val="2"/>
            <w:shd w:val="clear" w:color="auto" w:fill="auto"/>
            <w:vAlign w:val="center"/>
          </w:tcPr>
          <w:p w14:paraId="6A09527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项目组成</w:t>
            </w:r>
          </w:p>
        </w:tc>
        <w:tc>
          <w:tcPr>
            <w:tcW w:w="6027" w:type="dxa"/>
            <w:shd w:val="clear" w:color="auto" w:fill="auto"/>
            <w:vAlign w:val="center"/>
          </w:tcPr>
          <w:p w14:paraId="4DB477FD">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工程内容</w:t>
            </w:r>
          </w:p>
        </w:tc>
      </w:tr>
      <w:tr w14:paraId="535902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05" w:hRule="atLeast"/>
          <w:jc w:val="center"/>
        </w:trPr>
        <w:tc>
          <w:tcPr>
            <w:tcW w:w="2330" w:type="dxa"/>
            <w:gridSpan w:val="2"/>
            <w:shd w:val="clear" w:color="auto" w:fill="auto"/>
            <w:vAlign w:val="center"/>
          </w:tcPr>
          <w:p w14:paraId="2803F687">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主体工程</w:t>
            </w:r>
          </w:p>
        </w:tc>
        <w:tc>
          <w:tcPr>
            <w:tcW w:w="6027" w:type="dxa"/>
            <w:shd w:val="clear" w:color="auto" w:fill="auto"/>
            <w:vAlign w:val="center"/>
          </w:tcPr>
          <w:p w14:paraId="3DD76B88">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◆租赁天津立中车轮有限公司的三期厂房，在厂房内进行模具、汽车轮毂毛坯件及成品、法兰盘等小配件的生产</w:t>
            </w:r>
          </w:p>
        </w:tc>
      </w:tr>
      <w:tr w14:paraId="64598E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07" w:hRule="atLeast"/>
          <w:jc w:val="center"/>
        </w:trPr>
        <w:tc>
          <w:tcPr>
            <w:tcW w:w="802" w:type="dxa"/>
            <w:vMerge w:val="restart"/>
            <w:shd w:val="clear" w:color="auto" w:fill="auto"/>
            <w:vAlign w:val="center"/>
          </w:tcPr>
          <w:p w14:paraId="00D5E4D2">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公用辅助工程</w:t>
            </w:r>
          </w:p>
        </w:tc>
        <w:tc>
          <w:tcPr>
            <w:tcW w:w="1528" w:type="dxa"/>
            <w:shd w:val="clear" w:color="auto" w:fill="auto"/>
            <w:vAlign w:val="center"/>
          </w:tcPr>
          <w:p w14:paraId="74D5E257">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自来水</w:t>
            </w:r>
          </w:p>
        </w:tc>
        <w:tc>
          <w:tcPr>
            <w:tcW w:w="6027" w:type="dxa"/>
            <w:shd w:val="clear" w:color="auto" w:fill="auto"/>
            <w:vAlign w:val="center"/>
          </w:tcPr>
          <w:p w14:paraId="7EE88EA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◆给水由市政给水管网供给</w:t>
            </w:r>
          </w:p>
        </w:tc>
      </w:tr>
      <w:tr w14:paraId="0860E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05" w:hRule="atLeast"/>
          <w:jc w:val="center"/>
        </w:trPr>
        <w:tc>
          <w:tcPr>
            <w:tcW w:w="802" w:type="dxa"/>
            <w:vMerge w:val="continue"/>
            <w:shd w:val="clear" w:color="auto" w:fill="auto"/>
            <w:vAlign w:val="center"/>
          </w:tcPr>
          <w:p w14:paraId="7126F28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299E0EF2">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纯水</w:t>
            </w:r>
          </w:p>
        </w:tc>
        <w:tc>
          <w:tcPr>
            <w:tcW w:w="6027" w:type="dxa"/>
            <w:shd w:val="clear" w:color="auto" w:fill="auto"/>
            <w:vAlign w:val="center"/>
          </w:tcPr>
          <w:p w14:paraId="76E3745B">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◆表面处理线处设置1台24t/h纯水制备机，专门用于表面处理纯水使用环节；循环水站纯水制备机，用于锻造机内部循环冷用水</w:t>
            </w:r>
          </w:p>
        </w:tc>
      </w:tr>
      <w:tr w14:paraId="5FA0FB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29" w:hRule="atLeast"/>
          <w:jc w:val="center"/>
        </w:trPr>
        <w:tc>
          <w:tcPr>
            <w:tcW w:w="802" w:type="dxa"/>
            <w:vMerge w:val="continue"/>
            <w:shd w:val="clear" w:color="auto" w:fill="auto"/>
            <w:vAlign w:val="center"/>
          </w:tcPr>
          <w:p w14:paraId="39B3655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26C0F6F9">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冷却水池循环冷却水</w:t>
            </w:r>
          </w:p>
        </w:tc>
        <w:tc>
          <w:tcPr>
            <w:tcW w:w="6027" w:type="dxa"/>
            <w:shd w:val="clear" w:color="auto" w:fill="auto"/>
            <w:vAlign w:val="center"/>
          </w:tcPr>
          <w:p w14:paraId="24FC64DC">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◆由公司冷却塔进行冷却</w:t>
            </w:r>
          </w:p>
        </w:tc>
      </w:tr>
      <w:tr w14:paraId="2897D7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07" w:hRule="atLeast"/>
          <w:jc w:val="center"/>
        </w:trPr>
        <w:tc>
          <w:tcPr>
            <w:tcW w:w="802" w:type="dxa"/>
            <w:vMerge w:val="continue"/>
            <w:shd w:val="clear" w:color="auto" w:fill="auto"/>
            <w:vAlign w:val="center"/>
          </w:tcPr>
          <w:p w14:paraId="4D8E55B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bookmarkStart w:id="16" w:name="bookmark51"/>
            <w:bookmarkEnd w:id="16"/>
          </w:p>
        </w:tc>
        <w:tc>
          <w:tcPr>
            <w:tcW w:w="1528" w:type="dxa"/>
            <w:shd w:val="clear" w:color="auto" w:fill="auto"/>
            <w:vAlign w:val="center"/>
          </w:tcPr>
          <w:p w14:paraId="61FA6A7F">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供电</w:t>
            </w:r>
          </w:p>
        </w:tc>
        <w:tc>
          <w:tcPr>
            <w:tcW w:w="6027" w:type="dxa"/>
            <w:shd w:val="clear" w:color="auto" w:fill="auto"/>
            <w:vAlign w:val="center"/>
          </w:tcPr>
          <w:p w14:paraId="45D9AED9">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◆由市政电网提供</w:t>
            </w:r>
          </w:p>
        </w:tc>
      </w:tr>
      <w:tr w14:paraId="0B276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04" w:hRule="atLeast"/>
          <w:jc w:val="center"/>
        </w:trPr>
        <w:tc>
          <w:tcPr>
            <w:tcW w:w="802" w:type="dxa"/>
            <w:vMerge w:val="continue"/>
            <w:shd w:val="clear" w:color="auto" w:fill="auto"/>
            <w:vAlign w:val="center"/>
          </w:tcPr>
          <w:p w14:paraId="762CE0F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7FD32535">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采暖、制冷</w:t>
            </w:r>
          </w:p>
        </w:tc>
        <w:tc>
          <w:tcPr>
            <w:tcW w:w="6027" w:type="dxa"/>
            <w:shd w:val="clear" w:color="auto" w:fill="auto"/>
            <w:vAlign w:val="center"/>
          </w:tcPr>
          <w:p w14:paraId="6671A882">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◆采暖由西区市政供热管网提供热源，夏季办公室制冷采用空调，生产车间不制冷</w:t>
            </w:r>
          </w:p>
        </w:tc>
      </w:tr>
      <w:tr w14:paraId="7DF1C1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07" w:hRule="atLeast"/>
          <w:jc w:val="center"/>
        </w:trPr>
        <w:tc>
          <w:tcPr>
            <w:tcW w:w="802" w:type="dxa"/>
            <w:vMerge w:val="continue"/>
            <w:shd w:val="clear" w:color="auto" w:fill="auto"/>
            <w:vAlign w:val="center"/>
          </w:tcPr>
          <w:p w14:paraId="2F39C34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3D67D9D7">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压缩空气</w:t>
            </w:r>
          </w:p>
        </w:tc>
        <w:tc>
          <w:tcPr>
            <w:tcW w:w="6027" w:type="dxa"/>
            <w:shd w:val="clear" w:color="auto" w:fill="auto"/>
            <w:vAlign w:val="center"/>
          </w:tcPr>
          <w:p w14:paraId="4742640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◆依托天津立中车轮有限公司空压机房</w:t>
            </w:r>
          </w:p>
        </w:tc>
      </w:tr>
      <w:tr w14:paraId="4B31A4D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07" w:hRule="atLeast"/>
          <w:jc w:val="center"/>
        </w:trPr>
        <w:tc>
          <w:tcPr>
            <w:tcW w:w="802" w:type="dxa"/>
            <w:vMerge w:val="continue"/>
            <w:shd w:val="clear" w:color="auto" w:fill="auto"/>
            <w:vAlign w:val="center"/>
          </w:tcPr>
          <w:p w14:paraId="502A0614">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043D65BD">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供气</w:t>
            </w:r>
          </w:p>
        </w:tc>
        <w:tc>
          <w:tcPr>
            <w:tcW w:w="6027" w:type="dxa"/>
            <w:shd w:val="clear" w:color="auto" w:fill="auto"/>
            <w:vAlign w:val="center"/>
          </w:tcPr>
          <w:p w14:paraId="107DF3B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◆由天津开发区西区市政燃气管网提供</w:t>
            </w:r>
          </w:p>
        </w:tc>
      </w:tr>
      <w:tr w14:paraId="558495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509" w:hRule="atLeast"/>
          <w:jc w:val="center"/>
        </w:trPr>
        <w:tc>
          <w:tcPr>
            <w:tcW w:w="802" w:type="dxa"/>
            <w:vMerge w:val="continue"/>
            <w:shd w:val="clear" w:color="auto" w:fill="auto"/>
            <w:vAlign w:val="center"/>
          </w:tcPr>
          <w:p w14:paraId="7E88749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3CAACC03">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排水</w:t>
            </w:r>
          </w:p>
        </w:tc>
        <w:tc>
          <w:tcPr>
            <w:tcW w:w="6027" w:type="dxa"/>
            <w:shd w:val="clear" w:color="auto" w:fill="auto"/>
            <w:vAlign w:val="center"/>
          </w:tcPr>
          <w:p w14:paraId="6299A1C1">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公司依托天津立中车轮有限公司排水系统，排水系统采用雨污分流制。废水依托天津立中车轮有限公司污水处理站处理后，最终进入开发区西区污水处理厂；雨水依托天津立中车轮有限公司就近的三个雨水排放口排入园区市政雨水管网</w:t>
            </w:r>
          </w:p>
        </w:tc>
      </w:tr>
      <w:tr w14:paraId="25805C1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31" w:hRule="atLeast"/>
          <w:jc w:val="center"/>
        </w:trPr>
        <w:tc>
          <w:tcPr>
            <w:tcW w:w="802" w:type="dxa"/>
            <w:vMerge w:val="restart"/>
            <w:tcBorders>
              <w:bottom w:val="nil"/>
            </w:tcBorders>
            <w:shd w:val="clear" w:color="auto" w:fill="auto"/>
            <w:vAlign w:val="center"/>
          </w:tcPr>
          <w:p w14:paraId="007AD52A">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环保设施</w:t>
            </w:r>
          </w:p>
        </w:tc>
        <w:tc>
          <w:tcPr>
            <w:tcW w:w="1528" w:type="dxa"/>
            <w:shd w:val="clear" w:color="auto" w:fill="auto"/>
            <w:vAlign w:val="center"/>
          </w:tcPr>
          <w:p w14:paraId="7529137B">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废气治理设施</w:t>
            </w:r>
          </w:p>
        </w:tc>
        <w:tc>
          <w:tcPr>
            <w:tcW w:w="6027" w:type="dxa"/>
            <w:shd w:val="clear" w:color="auto" w:fill="auto"/>
            <w:vAlign w:val="center"/>
          </w:tcPr>
          <w:p w14:paraId="12A20EF7">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◆棒料加热炉配备低氮燃烧器，燃烧天然气产生的废气经</w:t>
            </w:r>
          </w:p>
          <w:p w14:paraId="5A3D711F">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1根22m高排气筒P1排放。</w:t>
            </w:r>
          </w:p>
          <w:p w14:paraId="0A0974CF">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◆模具预热炉燃烧天然气产生的废气经1根22m高排气筒P2排放。</w:t>
            </w:r>
          </w:p>
          <w:p w14:paraId="66ED184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◆模具烘烤燃烧天然气产生的废气、脱模剂有机废气经封闭空间内负压收集后经镁铝合金轮毂锻压废气治理装置（</w:t>
            </w:r>
            <w:r>
              <w:rPr>
                <w:rFonts w:hint="eastAsia" w:ascii="Times New Roman" w:hAnsi="Times New Roman" w:eastAsia="仿宋" w:cs="Times New Roman"/>
                <w:spacing w:val="0"/>
                <w:w w:val="100"/>
                <w:sz w:val="24"/>
                <w:szCs w:val="24"/>
                <w:highlight w:val="none"/>
                <w:lang w:eastAsia="zh-CN"/>
              </w:rPr>
              <w:t>“</w:t>
            </w:r>
            <w:r>
              <w:rPr>
                <w:rFonts w:hint="default" w:ascii="Times New Roman" w:hAnsi="Times New Roman" w:eastAsia="仿宋" w:cs="Times New Roman"/>
                <w:spacing w:val="0"/>
                <w:w w:val="100"/>
                <w:sz w:val="24"/>
                <w:szCs w:val="24"/>
                <w:highlight w:val="none"/>
              </w:rPr>
              <w:t>静电油烟净化器+生物菌型高效废气净化装置+活性炭吸附</w:t>
            </w:r>
            <w:r>
              <w:rPr>
                <w:rFonts w:hint="eastAsia" w:ascii="Times New Roman" w:hAnsi="Times New Roman" w:eastAsia="仿宋" w:cs="Times New Roman"/>
                <w:spacing w:val="0"/>
                <w:w w:val="100"/>
                <w:sz w:val="24"/>
                <w:szCs w:val="24"/>
                <w:highlight w:val="none"/>
                <w:lang w:eastAsia="zh-CN"/>
              </w:rPr>
              <w:t>”</w:t>
            </w:r>
            <w:r>
              <w:rPr>
                <w:rFonts w:hint="default" w:ascii="Times New Roman" w:hAnsi="Times New Roman" w:eastAsia="仿宋" w:cs="Times New Roman"/>
                <w:spacing w:val="0"/>
                <w:w w:val="100"/>
                <w:sz w:val="24"/>
                <w:szCs w:val="24"/>
                <w:highlight w:val="none"/>
              </w:rPr>
              <w:t>）处理后经1根35m高排气筒P3排放。</w:t>
            </w:r>
          </w:p>
          <w:p w14:paraId="6E052520">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◆中间加热炉废气经1根22m高的排气筒P4排放。</w:t>
            </w:r>
          </w:p>
          <w:p w14:paraId="71A2460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◆固锻步进式热处理炉燃烧天然气产生的废气经1根22m高排气筒P5排放。</w:t>
            </w:r>
          </w:p>
          <w:p w14:paraId="0C986841">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◆旋压预热炉配备低氮燃烧器，燃烧天然气产生的废气经</w:t>
            </w:r>
          </w:p>
          <w:p w14:paraId="26E39ACE">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1根22m高排气筒P6排放。</w:t>
            </w:r>
          </w:p>
          <w:p w14:paraId="3AB86B4D">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◆车轮热处理炉配备低氮燃烧器，燃烧天然气产生的废气经1根22m高排气筒P7排放。</w:t>
            </w:r>
          </w:p>
          <w:p w14:paraId="10048027">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◆天然气锅炉配备低氮燃烧器+烟气再循环技术，钝化液烘干炉配备低氮燃烧器。锅炉燃烧天然气产生的废气，与钝化液烘干炉燃烧天然气产生的废气经1根22m高排气筒P8排放。</w:t>
            </w:r>
          </w:p>
          <w:p w14:paraId="4C4C0849">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◆表调剂酸洗废气经表面处理线配备的集气口收集，引入喷淋塔中和处理后经1根24m高排气筒P9排放。</w:t>
            </w:r>
          </w:p>
          <w:p w14:paraId="4EF09020">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◆抛丸颗粒物经抛丸机对应集气口密闭收集，废气通过管道经湿式除尘器处理后经1根22m高排气筒P10排放。</w:t>
            </w:r>
          </w:p>
        </w:tc>
      </w:tr>
      <w:tr w14:paraId="1F725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09" w:hRule="atLeast"/>
          <w:jc w:val="center"/>
        </w:trPr>
        <w:tc>
          <w:tcPr>
            <w:tcW w:w="802" w:type="dxa"/>
            <w:vMerge w:val="continue"/>
            <w:tcBorders>
              <w:top w:val="nil"/>
            </w:tcBorders>
            <w:shd w:val="clear" w:color="auto" w:fill="auto"/>
            <w:vAlign w:val="center"/>
          </w:tcPr>
          <w:p w14:paraId="23BEE5D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48139BB7">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废水治理设施</w:t>
            </w:r>
          </w:p>
        </w:tc>
        <w:tc>
          <w:tcPr>
            <w:tcW w:w="6027" w:type="dxa"/>
            <w:shd w:val="clear" w:color="auto" w:fill="auto"/>
            <w:vAlign w:val="center"/>
          </w:tcPr>
          <w:p w14:paraId="494A9F89">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◆生产废水和生活污水依托天津立中车轮有限公司的废水处理站，经废水处理站处理达标后，依托集团公司废水排放口最终进入西区污水处理厂</w:t>
            </w:r>
          </w:p>
        </w:tc>
      </w:tr>
      <w:tr w14:paraId="2C726F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04" w:hRule="atLeast"/>
          <w:jc w:val="center"/>
        </w:trPr>
        <w:tc>
          <w:tcPr>
            <w:tcW w:w="802" w:type="dxa"/>
            <w:vMerge w:val="restart"/>
            <w:tcBorders>
              <w:bottom w:val="nil"/>
            </w:tcBorders>
            <w:shd w:val="clear" w:color="auto" w:fill="auto"/>
            <w:vAlign w:val="center"/>
          </w:tcPr>
          <w:p w14:paraId="18B4B7B2">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贮运工程</w:t>
            </w:r>
          </w:p>
        </w:tc>
        <w:tc>
          <w:tcPr>
            <w:tcW w:w="1528" w:type="dxa"/>
            <w:shd w:val="clear" w:color="auto" w:fill="auto"/>
            <w:vAlign w:val="center"/>
          </w:tcPr>
          <w:p w14:paraId="3F720749">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产品</w:t>
            </w:r>
          </w:p>
        </w:tc>
        <w:tc>
          <w:tcPr>
            <w:tcW w:w="6027" w:type="dxa"/>
            <w:shd w:val="clear" w:color="auto" w:fill="auto"/>
            <w:vAlign w:val="center"/>
          </w:tcPr>
          <w:p w14:paraId="72AD3B09">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◆在联合厂房内划定区域用于储存成品</w:t>
            </w:r>
          </w:p>
        </w:tc>
      </w:tr>
      <w:tr w14:paraId="2B414E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04" w:hRule="atLeast"/>
          <w:jc w:val="center"/>
        </w:trPr>
        <w:tc>
          <w:tcPr>
            <w:tcW w:w="802" w:type="dxa"/>
            <w:vMerge w:val="continue"/>
            <w:tcBorders>
              <w:top w:val="nil"/>
              <w:bottom w:val="nil"/>
            </w:tcBorders>
            <w:shd w:val="clear" w:color="auto" w:fill="auto"/>
            <w:vAlign w:val="center"/>
          </w:tcPr>
          <w:p w14:paraId="09FB7B4C">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628CBC36">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原辅料</w:t>
            </w:r>
          </w:p>
        </w:tc>
        <w:tc>
          <w:tcPr>
            <w:tcW w:w="6027" w:type="dxa"/>
            <w:shd w:val="clear" w:color="auto" w:fill="auto"/>
            <w:vAlign w:val="center"/>
          </w:tcPr>
          <w:p w14:paraId="446271BB">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◆现用现买，不在厂区长时间储存</w:t>
            </w:r>
          </w:p>
        </w:tc>
      </w:tr>
      <w:tr w14:paraId="5DF281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312" w:hRule="atLeast"/>
          <w:jc w:val="center"/>
        </w:trPr>
        <w:tc>
          <w:tcPr>
            <w:tcW w:w="802" w:type="dxa"/>
            <w:vMerge w:val="continue"/>
            <w:tcBorders>
              <w:top w:val="nil"/>
            </w:tcBorders>
            <w:shd w:val="clear" w:color="auto" w:fill="auto"/>
            <w:vAlign w:val="center"/>
          </w:tcPr>
          <w:p w14:paraId="64A1FDF6">
            <w:pPr>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p>
        </w:tc>
        <w:tc>
          <w:tcPr>
            <w:tcW w:w="1528" w:type="dxa"/>
            <w:shd w:val="clear" w:color="auto" w:fill="auto"/>
            <w:vAlign w:val="center"/>
          </w:tcPr>
          <w:p w14:paraId="7394CCF2">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运输</w:t>
            </w:r>
          </w:p>
        </w:tc>
        <w:tc>
          <w:tcPr>
            <w:tcW w:w="6027" w:type="dxa"/>
            <w:shd w:val="clear" w:color="auto" w:fill="auto"/>
            <w:vAlign w:val="center"/>
          </w:tcPr>
          <w:p w14:paraId="3737BF36">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◆原料与产品采用汽车运输</w:t>
            </w:r>
          </w:p>
        </w:tc>
      </w:tr>
      <w:tr w14:paraId="2F7A2F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611" w:hRule="atLeast"/>
          <w:jc w:val="center"/>
        </w:trPr>
        <w:tc>
          <w:tcPr>
            <w:tcW w:w="2330" w:type="dxa"/>
            <w:gridSpan w:val="2"/>
            <w:shd w:val="clear" w:color="auto" w:fill="auto"/>
            <w:vAlign w:val="center"/>
          </w:tcPr>
          <w:p w14:paraId="1164D028">
            <w:pPr>
              <w:pStyle w:val="19"/>
              <w:spacing w:before="189" w:line="189" w:lineRule="auto"/>
              <w:ind w:left="367"/>
              <w:jc w:val="left"/>
              <w:rPr>
                <w:rFonts w:hint="default" w:ascii="Times New Roman" w:hAnsi="Times New Roman" w:eastAsia="仿宋" w:cs="Times New Roman"/>
                <w:spacing w:val="0"/>
                <w:w w:val="100"/>
                <w:sz w:val="24"/>
                <w:szCs w:val="24"/>
                <w:highlight w:val="none"/>
              </w:rPr>
            </w:pPr>
            <w:bookmarkStart w:id="17" w:name="bookmark52"/>
            <w:bookmarkEnd w:id="17"/>
            <w:r>
              <w:rPr>
                <w:rFonts w:hint="default" w:ascii="Times New Roman" w:hAnsi="Times New Roman" w:eastAsia="仿宋" w:cs="Times New Roman"/>
                <w:spacing w:val="0"/>
                <w:w w:val="100"/>
                <w:sz w:val="24"/>
                <w:szCs w:val="24"/>
                <w:highlight w:val="none"/>
              </w:rPr>
              <w:t>行政、生活设施</w:t>
            </w:r>
          </w:p>
        </w:tc>
        <w:tc>
          <w:tcPr>
            <w:tcW w:w="6027" w:type="dxa"/>
            <w:shd w:val="clear" w:color="auto" w:fill="auto"/>
            <w:vAlign w:val="center"/>
          </w:tcPr>
          <w:p w14:paraId="6797C91F">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◆设置车间办公室，用于行政办公</w:t>
            </w:r>
          </w:p>
          <w:p w14:paraId="129E282C">
            <w:pPr>
              <w:pStyle w:val="19"/>
              <w:keepNext w:val="0"/>
              <w:keepLines w:val="0"/>
              <w:pageBreakBefore w:val="0"/>
              <w:widowControl/>
              <w:kinsoku w:val="0"/>
              <w:wordWrap/>
              <w:overflowPunct/>
              <w:topLinePunct w:val="0"/>
              <w:autoSpaceDE w:val="0"/>
              <w:autoSpaceDN w:val="0"/>
              <w:bidi w:val="0"/>
              <w:adjustRightInd w:val="0"/>
              <w:snapToGrid w:val="0"/>
              <w:spacing w:line="240" w:lineRule="auto"/>
              <w:ind w:left="0"/>
              <w:jc w:val="left"/>
              <w:textAlignment w:val="baseline"/>
              <w:rPr>
                <w:rFonts w:hint="default" w:ascii="Times New Roman" w:hAnsi="Times New Roman" w:eastAsia="仿宋" w:cs="Times New Roman"/>
                <w:spacing w:val="0"/>
                <w:w w:val="100"/>
                <w:sz w:val="24"/>
                <w:szCs w:val="24"/>
                <w:highlight w:val="none"/>
              </w:rPr>
            </w:pPr>
            <w:r>
              <w:rPr>
                <w:rFonts w:hint="default" w:ascii="Times New Roman" w:hAnsi="Times New Roman" w:eastAsia="仿宋" w:cs="Times New Roman"/>
                <w:spacing w:val="0"/>
                <w:w w:val="100"/>
                <w:sz w:val="24"/>
                <w:szCs w:val="24"/>
                <w:highlight w:val="none"/>
              </w:rPr>
              <w:t>◆依托天津立中车轮有限公司食堂就餐</w:t>
            </w:r>
          </w:p>
        </w:tc>
      </w:tr>
    </w:tbl>
    <w:p w14:paraId="6EFFB472">
      <w:pPr>
        <w:spacing w:before="350" w:line="280" w:lineRule="auto"/>
        <w:ind w:left="52" w:right="153" w:firstLine="538"/>
        <w:jc w:val="both"/>
        <w:rPr>
          <w:rFonts w:hint="eastAsia" w:ascii="仿宋" w:hAnsi="仿宋" w:eastAsia="仿宋" w:cs="仿宋"/>
          <w:sz w:val="27"/>
          <w:szCs w:val="27"/>
          <w:highlight w:val="yellow"/>
        </w:rPr>
        <w:sectPr>
          <w:headerReference r:id="rId12" w:type="default"/>
          <w:footerReference r:id="rId13" w:type="default"/>
          <w:pgSz w:w="11906" w:h="16838"/>
          <w:pgMar w:top="1134" w:right="1134" w:bottom="1134" w:left="1134" w:header="567" w:footer="567" w:gutter="0"/>
          <w:pgNumType w:fmt="decimal" w:start="1"/>
          <w:cols w:space="720" w:num="1"/>
        </w:sectPr>
      </w:pPr>
    </w:p>
    <w:p w14:paraId="07CC585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天津立中轻合金锻造有限公司租赁天津立中车轮有限公司部分厂房进行生产，疏散线路依托天津立中车轮有限公司公司厂区道路。集团公司设置3处紧急集合点。疏散路线见下图。</w:t>
      </w:r>
    </w:p>
    <w:p w14:paraId="553789BC">
      <w:pPr>
        <w:pStyle w:val="22"/>
        <w:keepNext w:val="0"/>
        <w:keepLines w:val="0"/>
        <w:pageBreakBefore w:val="0"/>
        <w:widowControl w:val="0"/>
        <w:kinsoku w:val="0"/>
        <w:wordWrap/>
        <w:overflowPunct/>
        <w:topLinePunct w:val="0"/>
        <w:autoSpaceDE w:val="0"/>
        <w:autoSpaceDN w:val="0"/>
        <w:bidi w:val="0"/>
        <w:adjustRightInd w:val="0"/>
        <w:snapToGrid w:val="0"/>
        <w:spacing w:line="240" w:lineRule="auto"/>
        <w:ind w:firstLine="0" w:firstLineChars="0"/>
        <w:jc w:val="center"/>
        <w:textAlignment w:val="baseline"/>
        <w:rPr>
          <w:rFonts w:hint="eastAsia"/>
          <w:highlight w:val="none"/>
        </w:rPr>
      </w:pPr>
      <w:r>
        <w:rPr>
          <w:rFonts w:hint="eastAsia" w:ascii="Times New Roman" w:hAnsi="Times New Roman" w:eastAsia="仿宋" w:cs="Times New Roman"/>
          <w:spacing w:val="-8"/>
          <w:sz w:val="28"/>
          <w:szCs w:val="28"/>
          <w:highlight w:val="none"/>
          <w:lang w:eastAsia="zh-CN"/>
        </w:rPr>
        <w:drawing>
          <wp:inline distT="0" distB="0" distL="114300" distR="114300">
            <wp:extent cx="3046730" cy="8074025"/>
            <wp:effectExtent l="0" t="0" r="3175" b="1270"/>
            <wp:docPr id="57" name="图片 57" descr="图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图片 57" descr="图片"/>
                    <pic:cNvPicPr>
                      <a:picLocks noChangeAspect="1"/>
                    </pic:cNvPicPr>
                  </pic:nvPicPr>
                  <pic:blipFill>
                    <a:blip r:embed="rId18"/>
                    <a:stretch>
                      <a:fillRect/>
                    </a:stretch>
                  </pic:blipFill>
                  <pic:spPr>
                    <a:xfrm rot="5400000">
                      <a:off x="0" y="0"/>
                      <a:ext cx="3046730" cy="8074025"/>
                    </a:xfrm>
                    <a:prstGeom prst="rect">
                      <a:avLst/>
                    </a:prstGeom>
                  </pic:spPr>
                </pic:pic>
              </a:graphicData>
            </a:graphic>
          </wp:inline>
        </w:drawing>
      </w:r>
    </w:p>
    <w:p w14:paraId="0D53A24D">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default" w:ascii="Times New Roman" w:hAnsi="Times New Roman" w:eastAsia="仿宋" w:cs="Times New Roman"/>
          <w:b/>
          <w:bCs/>
          <w:color w:val="auto"/>
          <w:spacing w:val="-7"/>
          <w:sz w:val="24"/>
          <w:szCs w:val="24"/>
        </w:rPr>
      </w:pPr>
      <w:r>
        <w:rPr>
          <w:rFonts w:hint="default" w:ascii="Times New Roman" w:hAnsi="Times New Roman" w:eastAsia="仿宋" w:cs="Times New Roman"/>
          <w:b/>
          <w:bCs/>
          <w:color w:val="auto"/>
          <w:spacing w:val="-7"/>
          <w:sz w:val="24"/>
          <w:szCs w:val="24"/>
        </w:rPr>
        <w:t>图2.1-1 公司疏散路线图</w:t>
      </w:r>
    </w:p>
    <w:p w14:paraId="56A85B6B">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9"/>
        <w:rPr>
          <w:rFonts w:hint="eastAsia" w:ascii="Times New Roman" w:hAnsi="Times New Roman" w:eastAsia="仿宋" w:cs="Times New Roman"/>
          <w:b/>
          <w:bCs/>
          <w:color w:val="auto"/>
          <w:spacing w:val="-7"/>
          <w:sz w:val="24"/>
          <w:szCs w:val="24"/>
        </w:rPr>
      </w:pPr>
    </w:p>
    <w:p w14:paraId="6C6E912F">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9"/>
        <w:rPr>
          <w:rFonts w:hint="eastAsia" w:ascii="Times New Roman" w:hAnsi="Times New Roman" w:eastAsia="仿宋" w:cs="Times New Roman"/>
          <w:b/>
          <w:bCs/>
          <w:color w:val="auto"/>
          <w:spacing w:val="-7"/>
          <w:sz w:val="24"/>
          <w:szCs w:val="24"/>
        </w:rPr>
        <w:sectPr>
          <w:pgSz w:w="16838" w:h="11906"/>
          <w:pgMar w:top="1145" w:right="2114" w:bottom="1058" w:left="2123" w:header="567" w:footer="567" w:gutter="0"/>
          <w:pgNumType w:fmt="decimal"/>
          <w:cols w:space="720" w:num="1"/>
        </w:sectPr>
      </w:pPr>
    </w:p>
    <w:p w14:paraId="54314B5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highlight w:val="none"/>
          <w:lang w:eastAsia="zh-CN"/>
        </w:rPr>
      </w:pPr>
      <w:r>
        <w:rPr>
          <w:rFonts w:hint="eastAsia" w:ascii="Times New Roman" w:hAnsi="Times New Roman" w:eastAsia="仿宋" w:cs="Times New Roman"/>
          <w:color w:val="auto"/>
          <w:spacing w:val="0"/>
          <w:w w:val="100"/>
          <w:sz w:val="28"/>
          <w:szCs w:val="28"/>
          <w:lang w:eastAsia="zh-CN"/>
        </w:rPr>
        <w:t>公司依托天津立中车轮有限公司排水系统，排水系统采用雨污分流制。公司废水包括生活污水、生产废水，生产废水包括锻造机工件冷却水池废水、表面处理废水、喷淋塔中和处理装置废水、法兰盘等小配件及镁铝合金轮毂生产清洗冷却水池废水、荧光检测废水、纯水制备废水、湿式除尘器排废水、清洗机清洗废水及冲洗台冲洗废水，废水依托天津立中车轮有限公司污水处理站处理后，经市政管网进入开发区西区污水处理厂处理，公司不单独设置污水排放口。</w:t>
      </w:r>
    </w:p>
    <w:p w14:paraId="33421C4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highlight w:val="none"/>
          <w:lang w:eastAsia="zh-CN"/>
        </w:rPr>
      </w:pPr>
      <w:r>
        <w:rPr>
          <w:rFonts w:hint="eastAsia" w:ascii="Times New Roman" w:hAnsi="Times New Roman" w:eastAsia="仿宋" w:cs="Times New Roman"/>
          <w:color w:val="auto"/>
          <w:spacing w:val="0"/>
          <w:w w:val="100"/>
          <w:sz w:val="28"/>
          <w:szCs w:val="28"/>
          <w:highlight w:val="none"/>
          <w:lang w:eastAsia="zh-CN"/>
        </w:rPr>
        <w:t>天津立中车轮有限公司设有7个雨水排放口，公司依托其中就近的三个雨水排放口。雨水通过道路两侧雨水篦子收集后汇入中间雨水井，分别经对应的雨水排放口排入市政雨水管网，经园区雨水泵站提升后排入西区景观河、红排河。</w:t>
      </w:r>
    </w:p>
    <w:p w14:paraId="2983DBD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厂区生产工艺、原辅料消耗、存储和污染物排放情况具体见《环境风险评估报告》。</w:t>
      </w:r>
    </w:p>
    <w:p w14:paraId="132F50C9">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18" w:name="_Toc32340"/>
      <w:r>
        <w:rPr>
          <w:rFonts w:hint="eastAsia" w:ascii="Times New Roman" w:hAnsi="Times New Roman" w:eastAsia="仿宋" w:cs="Times New Roman"/>
          <w:snapToGrid/>
          <w:sz w:val="30"/>
          <w:szCs w:val="30"/>
          <w:highlight w:val="none"/>
          <w:lang w:eastAsia="zh-CN"/>
        </w:rPr>
        <w:t>环境风险物质基本情况</w:t>
      </w:r>
      <w:bookmarkEnd w:id="18"/>
    </w:p>
    <w:p w14:paraId="7C224C9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对照《企业突发环境事件风险分级方法》（HJ941-2018）附录A中“突发环境事件风险物质及临界量清单”，涉及的风险物质包括脱模剂、切削液、液压油里的矿物油类物质</w:t>
      </w:r>
      <w:r>
        <w:rPr>
          <w:rFonts w:hint="eastAsia" w:ascii="Times New Roman" w:hAnsi="Times New Roman" w:eastAsia="仿宋" w:cs="Times New Roman"/>
          <w:color w:val="auto"/>
          <w:spacing w:val="0"/>
          <w:w w:val="100"/>
          <w:sz w:val="28"/>
          <w:szCs w:val="28"/>
          <w:highlight w:val="none"/>
          <w:lang w:eastAsia="zh-CN"/>
        </w:rPr>
        <w:t>，</w:t>
      </w:r>
      <w:r>
        <w:rPr>
          <w:rFonts w:hint="eastAsia" w:ascii="Times New Roman" w:hAnsi="Times New Roman" w:eastAsia="仿宋" w:cs="Times New Roman"/>
          <w:color w:val="auto"/>
          <w:spacing w:val="0"/>
          <w:w w:val="100"/>
          <w:sz w:val="28"/>
          <w:szCs w:val="28"/>
          <w:highlight w:val="none"/>
          <w:lang w:val="en-US" w:eastAsia="zh-CN"/>
        </w:rPr>
        <w:t>天然气</w:t>
      </w:r>
      <w:r>
        <w:rPr>
          <w:rFonts w:hint="eastAsia" w:ascii="Times New Roman" w:hAnsi="Times New Roman" w:eastAsia="仿宋" w:cs="Times New Roman"/>
          <w:color w:val="auto"/>
          <w:spacing w:val="0"/>
          <w:w w:val="100"/>
          <w:sz w:val="28"/>
          <w:szCs w:val="28"/>
          <w:highlight w:val="none"/>
          <w:lang w:eastAsia="zh-CN"/>
        </w:rPr>
        <w:t>里的甲烷，</w:t>
      </w:r>
      <w:r>
        <w:rPr>
          <w:rFonts w:hint="eastAsia" w:ascii="Times New Roman" w:hAnsi="Times New Roman" w:eastAsia="仿宋" w:cs="Times New Roman"/>
          <w:color w:val="auto"/>
          <w:spacing w:val="0"/>
          <w:w w:val="100"/>
          <w:sz w:val="28"/>
          <w:szCs w:val="28"/>
          <w:highlight w:val="none"/>
          <w:lang w:val="en-US" w:eastAsia="zh-CN"/>
        </w:rPr>
        <w:t>叉车使用时柴油，</w:t>
      </w:r>
      <w:r>
        <w:rPr>
          <w:rFonts w:hint="eastAsia" w:ascii="Times New Roman" w:hAnsi="Times New Roman" w:eastAsia="仿宋" w:cs="Times New Roman"/>
          <w:color w:val="auto"/>
          <w:spacing w:val="0"/>
          <w:w w:val="100"/>
          <w:sz w:val="28"/>
          <w:szCs w:val="28"/>
          <w:highlight w:val="none"/>
          <w:lang w:eastAsia="zh-CN"/>
        </w:rPr>
        <w:t>危废中的废切削液、废液压油、含有的废矿物油、锻造回收的废矿物油、设备维修过程</w:t>
      </w:r>
      <w:r>
        <w:rPr>
          <w:rFonts w:hint="eastAsia" w:ascii="Times New Roman" w:hAnsi="Times New Roman" w:eastAsia="仿宋" w:cs="Times New Roman"/>
          <w:color w:val="auto"/>
          <w:spacing w:val="0"/>
          <w:w w:val="100"/>
          <w:sz w:val="28"/>
          <w:szCs w:val="28"/>
          <w:highlight w:val="none"/>
          <w:lang w:val="en-US" w:eastAsia="zh-CN"/>
        </w:rPr>
        <w:t>产生的废机油</w:t>
      </w:r>
      <w:r>
        <w:rPr>
          <w:rFonts w:hint="eastAsia" w:ascii="Times New Roman" w:hAnsi="Times New Roman" w:eastAsia="仿宋" w:cs="Times New Roman"/>
          <w:color w:val="auto"/>
          <w:spacing w:val="0"/>
          <w:w w:val="100"/>
          <w:sz w:val="28"/>
          <w:szCs w:val="28"/>
          <w:highlight w:val="none"/>
          <w:lang w:eastAsia="zh-CN"/>
        </w:rPr>
        <w:t>。厂区内环境风险单元为三期厂房、危废暂存间及厂房外的天然气管道。厂区涉及</w:t>
      </w:r>
      <w:r>
        <w:rPr>
          <w:rFonts w:hint="eastAsia" w:ascii="Times New Roman" w:hAnsi="Times New Roman" w:eastAsia="仿宋" w:cs="Times New Roman"/>
          <w:color w:val="auto"/>
          <w:spacing w:val="0"/>
          <w:w w:val="100"/>
          <w:sz w:val="28"/>
          <w:szCs w:val="28"/>
          <w:lang w:eastAsia="zh-CN"/>
        </w:rPr>
        <w:t>的环境风险物质情况如下表：</w:t>
      </w:r>
    </w:p>
    <w:p w14:paraId="424664B9">
      <w:pPr>
        <w:rPr>
          <w:rFonts w:hint="eastAsia" w:ascii="Times New Roman" w:hAnsi="Times New Roman" w:eastAsia="仿宋" w:cs="Times New Roman"/>
          <w:color w:val="auto"/>
          <w:spacing w:val="0"/>
          <w:w w:val="100"/>
          <w:sz w:val="28"/>
          <w:szCs w:val="28"/>
          <w:highlight w:val="yellow"/>
          <w:lang w:eastAsia="zh-CN"/>
        </w:rPr>
      </w:pPr>
      <w:r>
        <w:rPr>
          <w:rFonts w:hint="eastAsia" w:ascii="Times New Roman" w:hAnsi="Times New Roman" w:eastAsia="仿宋" w:cs="Times New Roman"/>
          <w:color w:val="auto"/>
          <w:spacing w:val="0"/>
          <w:w w:val="100"/>
          <w:sz w:val="28"/>
          <w:szCs w:val="28"/>
          <w:highlight w:val="yellow"/>
          <w:lang w:eastAsia="zh-CN"/>
        </w:rPr>
        <w:br w:type="page"/>
      </w:r>
    </w:p>
    <w:p w14:paraId="66318A2E">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default" w:ascii="Times New Roman" w:hAnsi="Times New Roman" w:eastAsia="仿宋" w:cs="Times New Roman"/>
          <w:b/>
          <w:bCs/>
          <w:color w:val="auto"/>
          <w:spacing w:val="-7"/>
          <w:sz w:val="24"/>
          <w:szCs w:val="24"/>
        </w:rPr>
      </w:pPr>
      <w:r>
        <w:rPr>
          <w:rFonts w:hint="default" w:ascii="Times New Roman" w:hAnsi="Times New Roman" w:eastAsia="仿宋" w:cs="Times New Roman"/>
          <w:b/>
          <w:bCs/>
          <w:color w:val="auto"/>
          <w:spacing w:val="-7"/>
          <w:sz w:val="24"/>
          <w:szCs w:val="24"/>
        </w:rPr>
        <w:t>表2.2-1 厂区环境风险物质情况</w:t>
      </w:r>
    </w:p>
    <w:tbl>
      <w:tblPr>
        <w:tblStyle w:val="18"/>
        <w:tblW w:w="8775"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1430"/>
        <w:gridCol w:w="1009"/>
        <w:gridCol w:w="782"/>
        <w:gridCol w:w="1009"/>
        <w:gridCol w:w="1025"/>
        <w:gridCol w:w="1025"/>
        <w:gridCol w:w="1627"/>
        <w:gridCol w:w="868"/>
      </w:tblGrid>
      <w:tr w14:paraId="5FC3F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PrEx>
        <w:trPr>
          <w:trHeight w:val="695" w:hRule="atLeast"/>
          <w:jc w:val="center"/>
        </w:trPr>
        <w:tc>
          <w:tcPr>
            <w:tcW w:w="1430" w:type="dxa"/>
            <w:shd w:val="clear" w:color="auto" w:fill="auto"/>
            <w:vAlign w:val="center"/>
          </w:tcPr>
          <w:p w14:paraId="73F8923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物料名称</w:t>
            </w:r>
          </w:p>
        </w:tc>
        <w:tc>
          <w:tcPr>
            <w:tcW w:w="1009" w:type="dxa"/>
            <w:shd w:val="clear" w:color="auto" w:fill="auto"/>
            <w:vAlign w:val="center"/>
          </w:tcPr>
          <w:p w14:paraId="73604D4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最大储存量</w:t>
            </w:r>
            <w:r>
              <w:rPr>
                <w:rFonts w:hint="default" w:ascii="Times New Roman" w:hAnsi="Times New Roman" w:eastAsia="仿宋" w:cs="Times New Roman"/>
                <w:spacing w:val="0"/>
                <w:w w:val="100"/>
                <w:position w:val="0"/>
                <w:sz w:val="24"/>
                <w:szCs w:val="24"/>
                <w:highlight w:val="none"/>
              </w:rPr>
              <w:t>/t</w:t>
            </w:r>
          </w:p>
        </w:tc>
        <w:tc>
          <w:tcPr>
            <w:tcW w:w="782" w:type="dxa"/>
            <w:shd w:val="clear" w:color="auto" w:fill="auto"/>
            <w:vAlign w:val="center"/>
          </w:tcPr>
          <w:p w14:paraId="129075E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地点</w:t>
            </w:r>
          </w:p>
        </w:tc>
        <w:tc>
          <w:tcPr>
            <w:tcW w:w="1009" w:type="dxa"/>
            <w:shd w:val="clear" w:color="auto" w:fill="auto"/>
            <w:vAlign w:val="center"/>
          </w:tcPr>
          <w:p w14:paraId="591C8F1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风险物质</w:t>
            </w:r>
          </w:p>
          <w:p w14:paraId="7955EA7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名称</w:t>
            </w:r>
          </w:p>
        </w:tc>
        <w:tc>
          <w:tcPr>
            <w:tcW w:w="1025" w:type="dxa"/>
            <w:shd w:val="clear" w:color="auto" w:fill="auto"/>
            <w:vAlign w:val="center"/>
          </w:tcPr>
          <w:p w14:paraId="7ED8E3A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风险物质含量</w:t>
            </w:r>
          </w:p>
        </w:tc>
        <w:tc>
          <w:tcPr>
            <w:tcW w:w="1025" w:type="dxa"/>
            <w:shd w:val="clear" w:color="auto" w:fill="auto"/>
            <w:vAlign w:val="center"/>
          </w:tcPr>
          <w:p w14:paraId="5DCBCAB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最大存在</w:t>
            </w:r>
          </w:p>
          <w:p w14:paraId="7022D49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量/t</w:t>
            </w:r>
          </w:p>
        </w:tc>
        <w:tc>
          <w:tcPr>
            <w:tcW w:w="1627" w:type="dxa"/>
            <w:shd w:val="clear" w:color="auto" w:fill="auto"/>
            <w:vAlign w:val="center"/>
          </w:tcPr>
          <w:p w14:paraId="7B772B9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对应附录A中的类别</w:t>
            </w:r>
          </w:p>
        </w:tc>
        <w:tc>
          <w:tcPr>
            <w:tcW w:w="868" w:type="dxa"/>
            <w:shd w:val="clear" w:color="auto" w:fill="auto"/>
            <w:vAlign w:val="center"/>
          </w:tcPr>
          <w:p w14:paraId="30DE95A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风险类</w:t>
            </w:r>
          </w:p>
          <w:p w14:paraId="7D58E85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别</w:t>
            </w:r>
          </w:p>
        </w:tc>
      </w:tr>
      <w:tr w14:paraId="4B1789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2" w:hRule="atLeast"/>
          <w:jc w:val="center"/>
        </w:trPr>
        <w:tc>
          <w:tcPr>
            <w:tcW w:w="1430" w:type="dxa"/>
            <w:shd w:val="clear" w:color="auto" w:fill="auto"/>
            <w:vAlign w:val="center"/>
          </w:tcPr>
          <w:p w14:paraId="14F7933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脱模剂</w:t>
            </w:r>
          </w:p>
        </w:tc>
        <w:tc>
          <w:tcPr>
            <w:tcW w:w="1009" w:type="dxa"/>
            <w:shd w:val="clear" w:color="auto" w:fill="auto"/>
            <w:vAlign w:val="center"/>
          </w:tcPr>
          <w:p w14:paraId="51079EC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lang w:val="en-US" w:eastAsia="zh-CN"/>
              </w:rPr>
              <w:t>5</w:t>
            </w:r>
          </w:p>
        </w:tc>
        <w:tc>
          <w:tcPr>
            <w:tcW w:w="782" w:type="dxa"/>
            <w:vMerge w:val="restart"/>
            <w:shd w:val="clear" w:color="auto" w:fill="auto"/>
            <w:vAlign w:val="center"/>
          </w:tcPr>
          <w:p w14:paraId="28E882B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三期厂房</w:t>
            </w:r>
          </w:p>
        </w:tc>
        <w:tc>
          <w:tcPr>
            <w:tcW w:w="1009" w:type="dxa"/>
            <w:shd w:val="clear" w:color="auto" w:fill="auto"/>
            <w:vAlign w:val="center"/>
          </w:tcPr>
          <w:p w14:paraId="08C51EA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矿物油类物质</w:t>
            </w:r>
          </w:p>
        </w:tc>
        <w:tc>
          <w:tcPr>
            <w:tcW w:w="1025" w:type="dxa"/>
            <w:shd w:val="clear" w:color="auto" w:fill="auto"/>
            <w:vAlign w:val="center"/>
          </w:tcPr>
          <w:p w14:paraId="45C0A5A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90%</w:t>
            </w:r>
          </w:p>
        </w:tc>
        <w:tc>
          <w:tcPr>
            <w:tcW w:w="1025" w:type="dxa"/>
            <w:shd w:val="clear" w:color="auto" w:fill="auto"/>
            <w:vAlign w:val="center"/>
          </w:tcPr>
          <w:p w14:paraId="222B9D46">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4.5</w:t>
            </w:r>
          </w:p>
        </w:tc>
        <w:tc>
          <w:tcPr>
            <w:tcW w:w="1627" w:type="dxa"/>
            <w:shd w:val="clear" w:color="auto" w:fill="auto"/>
            <w:vAlign w:val="center"/>
          </w:tcPr>
          <w:p w14:paraId="383E2CF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shd w:val="clear" w:color="auto" w:fill="auto"/>
            <w:vAlign w:val="center"/>
          </w:tcPr>
          <w:p w14:paraId="1CB1911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r w14:paraId="059402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2" w:hRule="atLeast"/>
          <w:jc w:val="center"/>
        </w:trPr>
        <w:tc>
          <w:tcPr>
            <w:tcW w:w="1430" w:type="dxa"/>
            <w:shd w:val="clear" w:color="auto" w:fill="auto"/>
            <w:vAlign w:val="center"/>
          </w:tcPr>
          <w:p w14:paraId="4E18F12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切削液</w:t>
            </w:r>
          </w:p>
        </w:tc>
        <w:tc>
          <w:tcPr>
            <w:tcW w:w="1009" w:type="dxa"/>
            <w:shd w:val="clear" w:color="auto" w:fill="auto"/>
            <w:vAlign w:val="center"/>
          </w:tcPr>
          <w:p w14:paraId="289531F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lang w:val="en-US" w:eastAsia="zh-CN"/>
              </w:rPr>
              <w:t>3</w:t>
            </w:r>
          </w:p>
        </w:tc>
        <w:tc>
          <w:tcPr>
            <w:tcW w:w="782" w:type="dxa"/>
            <w:vMerge w:val="continue"/>
            <w:shd w:val="clear" w:color="auto" w:fill="auto"/>
            <w:vAlign w:val="center"/>
          </w:tcPr>
          <w:p w14:paraId="4FDB5E5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p>
        </w:tc>
        <w:tc>
          <w:tcPr>
            <w:tcW w:w="1009" w:type="dxa"/>
            <w:shd w:val="clear" w:color="auto" w:fill="auto"/>
            <w:vAlign w:val="center"/>
          </w:tcPr>
          <w:p w14:paraId="1ABB4B1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矿物油类物质</w:t>
            </w:r>
          </w:p>
        </w:tc>
        <w:tc>
          <w:tcPr>
            <w:tcW w:w="1025" w:type="dxa"/>
            <w:shd w:val="clear" w:color="auto" w:fill="auto"/>
            <w:vAlign w:val="center"/>
          </w:tcPr>
          <w:p w14:paraId="06B4EEE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50%</w:t>
            </w:r>
          </w:p>
        </w:tc>
        <w:tc>
          <w:tcPr>
            <w:tcW w:w="1025" w:type="dxa"/>
            <w:shd w:val="clear" w:color="auto" w:fill="auto"/>
            <w:vAlign w:val="center"/>
          </w:tcPr>
          <w:p w14:paraId="6A25DAA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1.5</w:t>
            </w:r>
          </w:p>
        </w:tc>
        <w:tc>
          <w:tcPr>
            <w:tcW w:w="1627" w:type="dxa"/>
            <w:shd w:val="clear" w:color="auto" w:fill="auto"/>
            <w:vAlign w:val="center"/>
          </w:tcPr>
          <w:p w14:paraId="60650CC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shd w:val="clear" w:color="auto" w:fill="auto"/>
            <w:vAlign w:val="center"/>
          </w:tcPr>
          <w:p w14:paraId="7FB701E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r w14:paraId="3765C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2" w:hRule="atLeast"/>
          <w:jc w:val="center"/>
        </w:trPr>
        <w:tc>
          <w:tcPr>
            <w:tcW w:w="1430" w:type="dxa"/>
            <w:shd w:val="clear" w:color="auto" w:fill="auto"/>
            <w:vAlign w:val="center"/>
          </w:tcPr>
          <w:p w14:paraId="739D636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液压油</w:t>
            </w:r>
          </w:p>
        </w:tc>
        <w:tc>
          <w:tcPr>
            <w:tcW w:w="1009" w:type="dxa"/>
            <w:shd w:val="clear" w:color="auto" w:fill="auto"/>
            <w:vAlign w:val="center"/>
          </w:tcPr>
          <w:p w14:paraId="2445374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lang w:val="en-US" w:eastAsia="zh-CN"/>
              </w:rPr>
              <w:t>0.8</w:t>
            </w:r>
          </w:p>
        </w:tc>
        <w:tc>
          <w:tcPr>
            <w:tcW w:w="782" w:type="dxa"/>
            <w:vMerge w:val="continue"/>
            <w:shd w:val="clear" w:color="auto" w:fill="auto"/>
            <w:vAlign w:val="center"/>
          </w:tcPr>
          <w:p w14:paraId="638F1339">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p>
        </w:tc>
        <w:tc>
          <w:tcPr>
            <w:tcW w:w="1009" w:type="dxa"/>
            <w:shd w:val="clear" w:color="auto" w:fill="auto"/>
            <w:vAlign w:val="center"/>
          </w:tcPr>
          <w:p w14:paraId="67614D9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矿物油类物质</w:t>
            </w:r>
          </w:p>
        </w:tc>
        <w:tc>
          <w:tcPr>
            <w:tcW w:w="1025" w:type="dxa"/>
            <w:shd w:val="clear" w:color="auto" w:fill="auto"/>
            <w:vAlign w:val="center"/>
          </w:tcPr>
          <w:p w14:paraId="561D585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99.0%</w:t>
            </w:r>
          </w:p>
        </w:tc>
        <w:tc>
          <w:tcPr>
            <w:tcW w:w="1025" w:type="dxa"/>
            <w:shd w:val="clear" w:color="auto" w:fill="auto"/>
            <w:vAlign w:val="center"/>
          </w:tcPr>
          <w:p w14:paraId="19870CE8">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0.792</w:t>
            </w:r>
          </w:p>
        </w:tc>
        <w:tc>
          <w:tcPr>
            <w:tcW w:w="1627" w:type="dxa"/>
            <w:shd w:val="clear" w:color="auto" w:fill="auto"/>
            <w:vAlign w:val="center"/>
          </w:tcPr>
          <w:p w14:paraId="4F3987F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shd w:val="clear" w:color="auto" w:fill="auto"/>
            <w:vAlign w:val="center"/>
          </w:tcPr>
          <w:p w14:paraId="2FA1177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r w14:paraId="571EBD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2" w:hRule="atLeast"/>
          <w:jc w:val="center"/>
        </w:trPr>
        <w:tc>
          <w:tcPr>
            <w:tcW w:w="1430" w:type="dxa"/>
            <w:shd w:val="clear" w:color="auto" w:fill="auto"/>
            <w:vAlign w:val="center"/>
          </w:tcPr>
          <w:p w14:paraId="450D069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柴油</w:t>
            </w:r>
          </w:p>
        </w:tc>
        <w:tc>
          <w:tcPr>
            <w:tcW w:w="1009" w:type="dxa"/>
            <w:shd w:val="clear" w:color="auto" w:fill="auto"/>
            <w:vAlign w:val="center"/>
          </w:tcPr>
          <w:p w14:paraId="3544A6C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0.000175</w:t>
            </w:r>
          </w:p>
        </w:tc>
        <w:tc>
          <w:tcPr>
            <w:tcW w:w="782" w:type="dxa"/>
            <w:vMerge w:val="continue"/>
            <w:tcBorders>
              <w:bottom w:val="nil"/>
            </w:tcBorders>
            <w:shd w:val="clear" w:color="auto" w:fill="auto"/>
            <w:vAlign w:val="center"/>
          </w:tcPr>
          <w:p w14:paraId="6BDE7D14">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p>
        </w:tc>
        <w:tc>
          <w:tcPr>
            <w:tcW w:w="1009" w:type="dxa"/>
            <w:shd w:val="clear" w:color="auto" w:fill="auto"/>
            <w:vAlign w:val="center"/>
          </w:tcPr>
          <w:p w14:paraId="22D11B4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矿物油类物质</w:t>
            </w:r>
          </w:p>
        </w:tc>
        <w:tc>
          <w:tcPr>
            <w:tcW w:w="1025" w:type="dxa"/>
            <w:shd w:val="clear" w:color="auto" w:fill="auto"/>
            <w:vAlign w:val="center"/>
          </w:tcPr>
          <w:p w14:paraId="0725897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100%</w:t>
            </w:r>
          </w:p>
        </w:tc>
        <w:tc>
          <w:tcPr>
            <w:tcW w:w="1025" w:type="dxa"/>
            <w:shd w:val="clear" w:color="auto" w:fill="auto"/>
            <w:vAlign w:val="center"/>
          </w:tcPr>
          <w:p w14:paraId="1CCA074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0.000175</w:t>
            </w:r>
          </w:p>
        </w:tc>
        <w:tc>
          <w:tcPr>
            <w:tcW w:w="1627" w:type="dxa"/>
            <w:shd w:val="clear" w:color="auto" w:fill="auto"/>
            <w:vAlign w:val="center"/>
          </w:tcPr>
          <w:p w14:paraId="653AA89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shd w:val="clear" w:color="auto" w:fill="auto"/>
            <w:vAlign w:val="center"/>
          </w:tcPr>
          <w:p w14:paraId="212E0EB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涉水、涉气</w:t>
            </w:r>
          </w:p>
        </w:tc>
      </w:tr>
      <w:tr w14:paraId="592732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444" w:hRule="atLeast"/>
          <w:jc w:val="center"/>
        </w:trPr>
        <w:tc>
          <w:tcPr>
            <w:tcW w:w="1430" w:type="dxa"/>
            <w:tcBorders>
              <w:bottom w:val="single" w:color="auto" w:sz="4" w:space="0"/>
            </w:tcBorders>
            <w:shd w:val="clear" w:color="auto" w:fill="auto"/>
            <w:vAlign w:val="center"/>
          </w:tcPr>
          <w:p w14:paraId="3E30EC5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天然气</w:t>
            </w:r>
          </w:p>
        </w:tc>
        <w:tc>
          <w:tcPr>
            <w:tcW w:w="1009" w:type="dxa"/>
            <w:tcBorders>
              <w:bottom w:val="single" w:color="auto" w:sz="4" w:space="0"/>
            </w:tcBorders>
            <w:shd w:val="clear" w:color="auto" w:fill="auto"/>
            <w:vAlign w:val="center"/>
          </w:tcPr>
          <w:p w14:paraId="224660F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管道输送使用不储存（厂区管道内最大暂存量为0.00007t）</w:t>
            </w:r>
          </w:p>
        </w:tc>
        <w:tc>
          <w:tcPr>
            <w:tcW w:w="782" w:type="dxa"/>
            <w:tcBorders>
              <w:bottom w:val="single" w:color="auto" w:sz="4" w:space="0"/>
            </w:tcBorders>
            <w:shd w:val="clear" w:color="auto" w:fill="auto"/>
            <w:vAlign w:val="center"/>
          </w:tcPr>
          <w:p w14:paraId="198F07F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天然气管道</w:t>
            </w:r>
          </w:p>
        </w:tc>
        <w:tc>
          <w:tcPr>
            <w:tcW w:w="1009" w:type="dxa"/>
            <w:tcBorders>
              <w:bottom w:val="single" w:color="auto" w:sz="4" w:space="0"/>
            </w:tcBorders>
            <w:shd w:val="clear" w:color="auto" w:fill="auto"/>
            <w:vAlign w:val="center"/>
          </w:tcPr>
          <w:p w14:paraId="4991BEB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甲烷</w:t>
            </w:r>
          </w:p>
        </w:tc>
        <w:tc>
          <w:tcPr>
            <w:tcW w:w="1025" w:type="dxa"/>
            <w:tcBorders>
              <w:bottom w:val="single" w:color="auto" w:sz="4" w:space="0"/>
            </w:tcBorders>
            <w:shd w:val="clear" w:color="auto" w:fill="auto"/>
            <w:vAlign w:val="center"/>
          </w:tcPr>
          <w:p w14:paraId="6C80F90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99%</w:t>
            </w:r>
          </w:p>
        </w:tc>
        <w:tc>
          <w:tcPr>
            <w:tcW w:w="1025" w:type="dxa"/>
            <w:tcBorders>
              <w:bottom w:val="single" w:color="auto" w:sz="4" w:space="0"/>
            </w:tcBorders>
            <w:shd w:val="clear" w:color="auto" w:fill="auto"/>
            <w:vAlign w:val="center"/>
          </w:tcPr>
          <w:p w14:paraId="3A23AE8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0.0000693</w:t>
            </w:r>
          </w:p>
        </w:tc>
        <w:tc>
          <w:tcPr>
            <w:tcW w:w="1627" w:type="dxa"/>
            <w:tcBorders>
              <w:bottom w:val="single" w:color="auto" w:sz="4" w:space="0"/>
            </w:tcBorders>
            <w:shd w:val="clear" w:color="auto" w:fill="auto"/>
            <w:vAlign w:val="center"/>
          </w:tcPr>
          <w:p w14:paraId="0AFCFBC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第二部分 易燃易爆气态物质</w:t>
            </w:r>
          </w:p>
        </w:tc>
        <w:tc>
          <w:tcPr>
            <w:tcW w:w="868" w:type="dxa"/>
            <w:tcBorders>
              <w:bottom w:val="single" w:color="auto" w:sz="4" w:space="0"/>
            </w:tcBorders>
            <w:shd w:val="clear" w:color="auto" w:fill="auto"/>
            <w:vAlign w:val="center"/>
          </w:tcPr>
          <w:p w14:paraId="42171D0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涉气</w:t>
            </w:r>
          </w:p>
        </w:tc>
      </w:tr>
      <w:tr w14:paraId="5A274E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2" w:hRule="atLeast"/>
          <w:jc w:val="center"/>
        </w:trPr>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46A261D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废切削液</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2DC2CB3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1.5</w:t>
            </w:r>
          </w:p>
        </w:tc>
        <w:tc>
          <w:tcPr>
            <w:tcW w:w="782" w:type="dxa"/>
            <w:vMerge w:val="restart"/>
            <w:tcBorders>
              <w:top w:val="single" w:color="auto" w:sz="4" w:space="0"/>
              <w:left w:val="single" w:color="auto" w:sz="4" w:space="0"/>
              <w:bottom w:val="single" w:color="auto" w:sz="4" w:space="0"/>
              <w:right w:val="single" w:color="auto" w:sz="4" w:space="0"/>
            </w:tcBorders>
            <w:shd w:val="clear" w:color="auto" w:fill="auto"/>
            <w:vAlign w:val="center"/>
          </w:tcPr>
          <w:p w14:paraId="207968F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危废暂存间</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25FEF9E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矿物油类物质</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DE6152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50%</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15CC19C">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0.083333</w:t>
            </w:r>
          </w:p>
        </w:tc>
        <w:tc>
          <w:tcPr>
            <w:tcW w:w="1627" w:type="dxa"/>
            <w:tcBorders>
              <w:top w:val="single" w:color="auto" w:sz="4" w:space="0"/>
              <w:left w:val="single" w:color="auto" w:sz="4" w:space="0"/>
              <w:bottom w:val="single" w:color="auto" w:sz="4" w:space="0"/>
              <w:right w:val="single" w:color="auto" w:sz="4" w:space="0"/>
            </w:tcBorders>
            <w:shd w:val="clear" w:color="auto" w:fill="auto"/>
            <w:vAlign w:val="center"/>
          </w:tcPr>
          <w:p w14:paraId="2B285E1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tcBorders>
              <w:top w:val="single" w:color="auto" w:sz="4" w:space="0"/>
              <w:left w:val="single" w:color="auto" w:sz="4" w:space="0"/>
              <w:bottom w:val="single" w:color="auto" w:sz="4" w:space="0"/>
              <w:right w:val="single" w:color="auto" w:sz="4" w:space="0"/>
            </w:tcBorders>
            <w:shd w:val="clear" w:color="auto" w:fill="auto"/>
            <w:vAlign w:val="center"/>
          </w:tcPr>
          <w:p w14:paraId="57750B5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r w14:paraId="17ADCF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2" w:hRule="atLeast"/>
          <w:jc w:val="center"/>
        </w:trPr>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13A614E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锻造回收的废矿物油</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45B92A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2</w:t>
            </w:r>
          </w:p>
        </w:tc>
        <w:tc>
          <w:tcPr>
            <w:tcW w:w="7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71BB6384">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4161423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矿物油类物质</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9F9B68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100%</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5C6DC18E">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1.99</w:t>
            </w:r>
          </w:p>
        </w:tc>
        <w:tc>
          <w:tcPr>
            <w:tcW w:w="1627" w:type="dxa"/>
            <w:tcBorders>
              <w:top w:val="single" w:color="auto" w:sz="4" w:space="0"/>
              <w:left w:val="single" w:color="auto" w:sz="4" w:space="0"/>
              <w:bottom w:val="single" w:color="auto" w:sz="4" w:space="0"/>
              <w:right w:val="single" w:color="auto" w:sz="4" w:space="0"/>
            </w:tcBorders>
            <w:shd w:val="clear" w:color="auto" w:fill="auto"/>
            <w:vAlign w:val="center"/>
          </w:tcPr>
          <w:p w14:paraId="25B4087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tcBorders>
              <w:top w:val="single" w:color="auto" w:sz="4" w:space="0"/>
              <w:left w:val="single" w:color="auto" w:sz="4" w:space="0"/>
              <w:bottom w:val="single" w:color="auto" w:sz="4" w:space="0"/>
              <w:right w:val="single" w:color="auto" w:sz="4" w:space="0"/>
            </w:tcBorders>
            <w:shd w:val="clear" w:color="auto" w:fill="auto"/>
            <w:vAlign w:val="center"/>
          </w:tcPr>
          <w:p w14:paraId="5945DB7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r w14:paraId="7F21B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2" w:hRule="atLeast"/>
          <w:jc w:val="center"/>
        </w:trPr>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5CBD2C6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废液压油</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1309D2A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1</w:t>
            </w:r>
          </w:p>
        </w:tc>
        <w:tc>
          <w:tcPr>
            <w:tcW w:w="7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C5CBD6D">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388BB40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napToGrid w:val="0"/>
                <w:color w:val="000000"/>
                <w:spacing w:val="0"/>
                <w:w w:val="100"/>
                <w:kern w:val="0"/>
                <w:position w:val="0"/>
                <w:sz w:val="24"/>
                <w:szCs w:val="24"/>
                <w:highlight w:val="none"/>
                <w:lang w:val="en-US" w:eastAsia="en-US" w:bidi="ar-SA"/>
              </w:rPr>
            </w:pPr>
            <w:r>
              <w:rPr>
                <w:rFonts w:hint="default" w:ascii="Times New Roman" w:hAnsi="Times New Roman" w:eastAsia="仿宋" w:cs="Times New Roman"/>
                <w:spacing w:val="0"/>
                <w:w w:val="100"/>
                <w:position w:val="0"/>
                <w:sz w:val="24"/>
                <w:szCs w:val="24"/>
                <w:highlight w:val="none"/>
              </w:rPr>
              <w:t>矿物油类物质</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6DEF0C2E">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99.0%</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192F910E">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default" w:ascii="Times New Roman" w:hAnsi="Times New Roman" w:eastAsia="仿宋" w:cs="Times New Roman"/>
                <w:spacing w:val="0"/>
                <w:w w:val="100"/>
                <w:position w:val="0"/>
                <w:sz w:val="24"/>
                <w:szCs w:val="24"/>
                <w:highlight w:val="none"/>
                <w:lang w:val="en-US" w:eastAsia="zh-CN"/>
              </w:rPr>
              <w:t>9.9</w:t>
            </w:r>
          </w:p>
        </w:tc>
        <w:tc>
          <w:tcPr>
            <w:tcW w:w="1627" w:type="dxa"/>
            <w:tcBorders>
              <w:top w:val="single" w:color="auto" w:sz="4" w:space="0"/>
              <w:left w:val="single" w:color="auto" w:sz="4" w:space="0"/>
              <w:bottom w:val="single" w:color="auto" w:sz="4" w:space="0"/>
              <w:right w:val="single" w:color="auto" w:sz="4" w:space="0"/>
            </w:tcBorders>
            <w:shd w:val="clear" w:color="auto" w:fill="auto"/>
            <w:vAlign w:val="center"/>
          </w:tcPr>
          <w:p w14:paraId="2DBABD6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tcBorders>
              <w:top w:val="single" w:color="auto" w:sz="4" w:space="0"/>
              <w:left w:val="single" w:color="auto" w:sz="4" w:space="0"/>
              <w:bottom w:val="single" w:color="auto" w:sz="4" w:space="0"/>
              <w:right w:val="single" w:color="auto" w:sz="4" w:space="0"/>
            </w:tcBorders>
            <w:shd w:val="clear" w:color="auto" w:fill="auto"/>
            <w:vAlign w:val="center"/>
          </w:tcPr>
          <w:p w14:paraId="2FE1AB5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r w14:paraId="0736CC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932" w:hRule="atLeast"/>
          <w:jc w:val="center"/>
        </w:trPr>
        <w:tc>
          <w:tcPr>
            <w:tcW w:w="1430" w:type="dxa"/>
            <w:tcBorders>
              <w:top w:val="single" w:color="auto" w:sz="4" w:space="0"/>
              <w:left w:val="single" w:color="auto" w:sz="4" w:space="0"/>
              <w:bottom w:val="single" w:color="auto" w:sz="4" w:space="0"/>
              <w:right w:val="single" w:color="auto" w:sz="4" w:space="0"/>
            </w:tcBorders>
            <w:shd w:val="clear" w:color="auto" w:fill="auto"/>
            <w:vAlign w:val="center"/>
          </w:tcPr>
          <w:p w14:paraId="7478B48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废机油</w:t>
            </w: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978C2A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0.0017</w:t>
            </w:r>
          </w:p>
        </w:tc>
        <w:tc>
          <w:tcPr>
            <w:tcW w:w="782" w:type="dxa"/>
            <w:vMerge w:val="continue"/>
            <w:tcBorders>
              <w:top w:val="single" w:color="auto" w:sz="4" w:space="0"/>
              <w:left w:val="single" w:color="auto" w:sz="4" w:space="0"/>
              <w:bottom w:val="single" w:color="auto" w:sz="4" w:space="0"/>
              <w:right w:val="single" w:color="auto" w:sz="4" w:space="0"/>
            </w:tcBorders>
            <w:shd w:val="clear" w:color="auto" w:fill="auto"/>
            <w:vAlign w:val="center"/>
          </w:tcPr>
          <w:p w14:paraId="1ADD37DE">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p>
        </w:tc>
        <w:tc>
          <w:tcPr>
            <w:tcW w:w="1009" w:type="dxa"/>
            <w:tcBorders>
              <w:top w:val="single" w:color="auto" w:sz="4" w:space="0"/>
              <w:left w:val="single" w:color="auto" w:sz="4" w:space="0"/>
              <w:bottom w:val="single" w:color="auto" w:sz="4" w:space="0"/>
              <w:right w:val="single" w:color="auto" w:sz="4" w:space="0"/>
            </w:tcBorders>
            <w:shd w:val="clear" w:color="auto" w:fill="auto"/>
            <w:vAlign w:val="center"/>
          </w:tcPr>
          <w:p w14:paraId="7757932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leftChars="0" w:right="0" w:rightChars="0" w:firstLine="0" w:firstLineChars="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矿物油类物质</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02C84047">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100%</w:t>
            </w:r>
          </w:p>
        </w:tc>
        <w:tc>
          <w:tcPr>
            <w:tcW w:w="1025" w:type="dxa"/>
            <w:tcBorders>
              <w:top w:val="single" w:color="auto" w:sz="4" w:space="0"/>
              <w:left w:val="single" w:color="auto" w:sz="4" w:space="0"/>
              <w:bottom w:val="single" w:color="auto" w:sz="4" w:space="0"/>
              <w:right w:val="single" w:color="auto" w:sz="4" w:space="0"/>
            </w:tcBorders>
            <w:shd w:val="clear" w:color="auto" w:fill="auto"/>
            <w:vAlign w:val="center"/>
          </w:tcPr>
          <w:p w14:paraId="478B702E">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lang w:val="en-US" w:eastAsia="zh-CN"/>
              </w:rPr>
            </w:pPr>
            <w:r>
              <w:rPr>
                <w:rFonts w:hint="eastAsia" w:ascii="Times New Roman" w:hAnsi="Times New Roman" w:eastAsia="仿宋" w:cs="Times New Roman"/>
                <w:spacing w:val="0"/>
                <w:w w:val="100"/>
                <w:position w:val="0"/>
                <w:sz w:val="24"/>
                <w:szCs w:val="24"/>
                <w:highlight w:val="none"/>
                <w:lang w:val="en-US" w:eastAsia="zh-CN"/>
              </w:rPr>
              <w:t>0.0017</w:t>
            </w:r>
          </w:p>
        </w:tc>
        <w:tc>
          <w:tcPr>
            <w:tcW w:w="1627" w:type="dxa"/>
            <w:tcBorders>
              <w:top w:val="single" w:color="auto" w:sz="4" w:space="0"/>
              <w:left w:val="single" w:color="auto" w:sz="4" w:space="0"/>
              <w:bottom w:val="single" w:color="auto" w:sz="4" w:space="0"/>
              <w:right w:val="single" w:color="auto" w:sz="4" w:space="0"/>
            </w:tcBorders>
            <w:shd w:val="clear" w:color="auto" w:fill="auto"/>
            <w:vAlign w:val="center"/>
          </w:tcPr>
          <w:p w14:paraId="3BFDB84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第八部分 其他类物质及污染物</w:t>
            </w:r>
          </w:p>
        </w:tc>
        <w:tc>
          <w:tcPr>
            <w:tcW w:w="868" w:type="dxa"/>
            <w:tcBorders>
              <w:top w:val="single" w:color="auto" w:sz="4" w:space="0"/>
              <w:left w:val="single" w:color="auto" w:sz="4" w:space="0"/>
              <w:bottom w:val="single" w:color="auto" w:sz="4" w:space="0"/>
              <w:right w:val="single" w:color="auto" w:sz="4" w:space="0"/>
            </w:tcBorders>
            <w:shd w:val="clear" w:color="auto" w:fill="auto"/>
            <w:vAlign w:val="center"/>
          </w:tcPr>
          <w:p w14:paraId="15D3640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w w:val="100"/>
                <w:position w:val="0"/>
                <w:sz w:val="24"/>
                <w:szCs w:val="24"/>
                <w:highlight w:val="none"/>
              </w:rPr>
            </w:pPr>
            <w:r>
              <w:rPr>
                <w:rFonts w:hint="default" w:ascii="Times New Roman" w:hAnsi="Times New Roman" w:eastAsia="仿宋" w:cs="Times New Roman"/>
                <w:spacing w:val="0"/>
                <w:w w:val="100"/>
                <w:position w:val="0"/>
                <w:sz w:val="24"/>
                <w:szCs w:val="24"/>
                <w:highlight w:val="none"/>
              </w:rPr>
              <w:t>涉水、涉气</w:t>
            </w:r>
          </w:p>
        </w:tc>
      </w:tr>
    </w:tbl>
    <w:p w14:paraId="2C5A9CFA">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19" w:name="_Toc3507"/>
      <w:r>
        <w:rPr>
          <w:rFonts w:hint="eastAsia" w:ascii="Times New Roman" w:hAnsi="Times New Roman" w:eastAsia="仿宋" w:cs="Times New Roman"/>
          <w:snapToGrid/>
          <w:sz w:val="30"/>
          <w:szCs w:val="30"/>
          <w:highlight w:val="none"/>
          <w:lang w:eastAsia="zh-CN"/>
        </w:rPr>
        <w:t>周边环境状况</w:t>
      </w:r>
      <w:bookmarkEnd w:id="19"/>
    </w:p>
    <w:p w14:paraId="2DD12C8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公司租赁天津经济技术开发区西区光华街58号天津立中车轮有限公司厂房进行生产，天津立中车轮有限公司西侧紧靠</w:t>
      </w:r>
      <w:r>
        <w:rPr>
          <w:rFonts w:hint="eastAsia" w:ascii="Times New Roman" w:hAnsi="Times New Roman" w:eastAsia="仿宋" w:cs="Times New Roman"/>
          <w:color w:val="auto"/>
          <w:spacing w:val="0"/>
          <w:w w:val="100"/>
          <w:sz w:val="28"/>
          <w:szCs w:val="28"/>
          <w:lang w:val="en-US" w:eastAsia="zh-CN"/>
        </w:rPr>
        <w:t>泰达西区湿地公园</w:t>
      </w:r>
      <w:r>
        <w:rPr>
          <w:rFonts w:hint="eastAsia" w:ascii="Times New Roman" w:hAnsi="Times New Roman" w:eastAsia="仿宋" w:cs="Times New Roman"/>
          <w:color w:val="auto"/>
          <w:spacing w:val="0"/>
          <w:w w:val="100"/>
          <w:sz w:val="28"/>
          <w:szCs w:val="28"/>
          <w:lang w:eastAsia="zh-CN"/>
        </w:rPr>
        <w:t>，北临勤威（</w:t>
      </w:r>
      <w:r>
        <w:rPr>
          <w:rFonts w:hint="eastAsia" w:ascii="Times New Roman" w:hAnsi="Times New Roman" w:eastAsia="仿宋" w:cs="Times New Roman"/>
          <w:color w:val="auto"/>
          <w:spacing w:val="0"/>
          <w:w w:val="100"/>
          <w:sz w:val="28"/>
          <w:szCs w:val="28"/>
          <w:lang w:val="en-US" w:eastAsia="zh-CN"/>
        </w:rPr>
        <w:t>天津</w:t>
      </w:r>
      <w:r>
        <w:rPr>
          <w:rFonts w:hint="eastAsia" w:ascii="Times New Roman" w:hAnsi="Times New Roman" w:eastAsia="仿宋" w:cs="Times New Roman"/>
          <w:color w:val="auto"/>
          <w:spacing w:val="0"/>
          <w:w w:val="100"/>
          <w:sz w:val="28"/>
          <w:szCs w:val="28"/>
          <w:lang w:eastAsia="zh-CN"/>
        </w:rPr>
        <w:t>）工业有限公司，东侧隔环泰公路为天津生物工程</w:t>
      </w:r>
      <w:bookmarkStart w:id="20" w:name="bookmark53"/>
      <w:bookmarkEnd w:id="20"/>
      <w:r>
        <w:rPr>
          <w:rFonts w:hint="eastAsia" w:ascii="Times New Roman" w:hAnsi="Times New Roman" w:eastAsia="仿宋" w:cs="Times New Roman"/>
          <w:color w:val="auto"/>
          <w:spacing w:val="0"/>
          <w:w w:val="100"/>
          <w:sz w:val="28"/>
          <w:szCs w:val="28"/>
          <w:lang w:eastAsia="zh-CN"/>
        </w:rPr>
        <w:t>职业技术学院，南侧隔中南五街为太钢大明金属制品公司。具体周边环境</w:t>
      </w:r>
      <w:r>
        <w:rPr>
          <w:rFonts w:hint="eastAsia" w:ascii="Times New Roman" w:hAnsi="Times New Roman" w:eastAsia="仿宋" w:cs="Times New Roman"/>
          <w:color w:val="auto"/>
          <w:spacing w:val="0"/>
          <w:w w:val="100"/>
          <w:sz w:val="28"/>
          <w:szCs w:val="28"/>
          <w:lang w:val="en-US" w:eastAsia="zh-CN"/>
        </w:rPr>
        <w:t>风险受体情况详</w:t>
      </w:r>
      <w:r>
        <w:rPr>
          <w:rFonts w:hint="eastAsia" w:ascii="Times New Roman" w:hAnsi="Times New Roman" w:eastAsia="仿宋" w:cs="Times New Roman"/>
          <w:color w:val="auto"/>
          <w:spacing w:val="0"/>
          <w:w w:val="100"/>
          <w:sz w:val="28"/>
          <w:szCs w:val="28"/>
          <w:lang w:eastAsia="zh-CN"/>
        </w:rPr>
        <w:t>见《环境风险评估报告》。</w:t>
      </w:r>
    </w:p>
    <w:p w14:paraId="10ACFADF">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21" w:name="bookmark54"/>
      <w:bookmarkEnd w:id="21"/>
      <w:bookmarkStart w:id="22" w:name="_Toc4324"/>
      <w:r>
        <w:rPr>
          <w:rFonts w:hint="eastAsia" w:ascii="Times New Roman" w:hAnsi="Times New Roman" w:eastAsia="仿宋" w:cs="Times New Roman"/>
          <w:snapToGrid/>
          <w:highlight w:val="none"/>
          <w:lang w:eastAsia="zh-CN"/>
        </w:rPr>
        <w:t>环境风险源辨识与风险评估</w:t>
      </w:r>
      <w:bookmarkEnd w:id="22"/>
    </w:p>
    <w:p w14:paraId="261A22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企业单独编制了《天津立中轻合金锻造有限公司环境风险评估报告》，对企业涉及的环境风险源进行了辨识、对可能的环境影响进行了评估。根据该环境风险评估报告得出以下结论：</w:t>
      </w:r>
    </w:p>
    <w:p w14:paraId="12EA01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1）涉及的风险物质包括脱模剂、切削液、液压油里的矿物油类物质，天然气里的甲烷，危废中的废切削液、废液压油含有的废矿物油、锻造回收的废矿物油、设备维修过程产生的废机油。厂区内环境风险单元为三期厂房、危废暂存间及厂房外的天然气管道。按照企业突发环境事件风险分级程序和分级方法分别进行大气环境风险事件和水环境风险事件风险分级，最终确定企业突发环境事件风险等级为一般风险，突发环境事件风险等级表示为一般[一般-大气（（Q0）+一般-水（Q0）]。</w:t>
      </w:r>
    </w:p>
    <w:p w14:paraId="05D27B8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2）可能发生的突发环境事件包括风险物质泄漏事故和火灾事故次生影响。风险物质泄漏事故情景包括三期厂房风险物质泄漏事故和危废暂存间废切削液、废液压油含有的废矿物油及锻造回收的废矿物油泄漏事故。根据事故影响分析，得出以下结论：</w:t>
      </w:r>
    </w:p>
    <w:p w14:paraId="11B02D6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三期厂房脱模剂、切削液、液压油</w:t>
      </w:r>
      <w:r>
        <w:rPr>
          <w:rFonts w:hint="eastAsia" w:ascii="Times New Roman" w:hAnsi="Times New Roman" w:eastAsia="仿宋" w:cs="Times New Roman"/>
          <w:color w:val="auto"/>
          <w:spacing w:val="0"/>
          <w:w w:val="100"/>
          <w:sz w:val="28"/>
          <w:szCs w:val="28"/>
          <w:lang w:val="en-US" w:eastAsia="zh-CN"/>
        </w:rPr>
        <w:t>在</w:t>
      </w:r>
      <w:r>
        <w:rPr>
          <w:rFonts w:hint="eastAsia" w:ascii="Times New Roman" w:hAnsi="Times New Roman" w:eastAsia="仿宋" w:cs="Times New Roman"/>
          <w:color w:val="auto"/>
          <w:spacing w:val="0"/>
          <w:w w:val="100"/>
          <w:sz w:val="28"/>
          <w:szCs w:val="28"/>
          <w:lang w:eastAsia="zh-CN"/>
        </w:rPr>
        <w:t>储存或使用时可能发生泄漏，风险物质的使用和储存均在三期厂房内进行，泄漏发生后，迅速采用吸附材料将泄漏出来的物质擦拭处理完毕，泄漏的风险物质不会进入雨水系统，不会对地表水产生影响。厂房地面铺设有混凝土硬化层，在及时采取应急处置后，风险物质泄漏不会对土壤或地下水产生影响。</w:t>
      </w:r>
    </w:p>
    <w:p w14:paraId="576832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危废暂存间搬运作业时可能发生废切削液、废液压油及锻造回收的废矿物油泄漏。若应急处置不当可能使泄漏的油类物质进入雨水系统，通过雨水管网外排，造成西区景观河、红排河中石油类浓度升高。危废暂存间和厂区其他地面均进行了硬化处理，在及时进行应急处置后，泄漏的油类物质不会对土壤造成影响。</w:t>
      </w:r>
    </w:p>
    <w:p w14:paraId="4545C8F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厂房内甲烷、矿物油类物质发生泄漏后，遇明火可能引发火灾事故，火灾事故将使空气中CO浓度短时间增加。火灾事故发生后，根据可燃物质的特性选用抗溶性泡沫、干粉灭火器和二氧化碳灭火器。厂区发生大面积火灾时启用消火栓，将产生消防废水。若未及时切断雨水外排，消防废水经雨水排放口流出，可能对西区景观河、红排河水质造成影响，可能造成水体中污染物浓度短时间增加。</w:t>
      </w:r>
    </w:p>
    <w:p w14:paraId="1B2A932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低氮燃烧器+烟气再循环技术处理装置失效时，二氧化硫、氮氧化物、一氧化碳直接排放对环境的最大影响远低于毒性终点浓度-1和毒性终点浓度-2，故废气治理设施失效情况下二氧化硫、氮氧化物、一氧化碳不会对周边人群健康产生有害影响。</w:t>
      </w:r>
    </w:p>
    <w:p w14:paraId="55324A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涉及的事故类型、最坏事故情景以及后果分析汇总见下表。</w:t>
      </w:r>
    </w:p>
    <w:p w14:paraId="41A0A03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default" w:ascii="Times New Roman" w:hAnsi="Times New Roman" w:eastAsia="仿宋" w:cs="Times New Roman"/>
          <w:b/>
          <w:bCs/>
          <w:color w:val="auto"/>
          <w:spacing w:val="-7"/>
          <w:sz w:val="24"/>
          <w:szCs w:val="24"/>
        </w:rPr>
        <w:t>表3</w:t>
      </w:r>
      <w:r>
        <w:rPr>
          <w:rFonts w:hint="eastAsia" w:ascii="Times New Roman" w:hAnsi="Times New Roman" w:eastAsia="仿宋" w:cs="Times New Roman"/>
          <w:b/>
          <w:bCs/>
          <w:color w:val="auto"/>
          <w:spacing w:val="-7"/>
          <w:sz w:val="24"/>
          <w:szCs w:val="24"/>
          <w:lang w:val="en-US" w:eastAsia="zh-CN"/>
        </w:rPr>
        <w:t>.1</w:t>
      </w:r>
      <w:r>
        <w:rPr>
          <w:rFonts w:hint="default" w:ascii="Times New Roman" w:hAnsi="Times New Roman" w:eastAsia="仿宋" w:cs="Times New Roman"/>
          <w:b/>
          <w:bCs/>
          <w:color w:val="auto"/>
          <w:spacing w:val="-7"/>
          <w:sz w:val="24"/>
          <w:szCs w:val="24"/>
        </w:rPr>
        <w:t>-1 厂区涉及的事故类型、最坏事故情景以及后果分析汇总</w:t>
      </w:r>
    </w:p>
    <w:tbl>
      <w:tblPr>
        <w:tblStyle w:val="18"/>
        <w:tblW w:w="8358"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Layout w:type="fixed"/>
        <w:tblCellMar>
          <w:top w:w="0" w:type="dxa"/>
          <w:left w:w="0" w:type="dxa"/>
          <w:bottom w:w="0" w:type="dxa"/>
          <w:right w:w="0" w:type="dxa"/>
        </w:tblCellMar>
      </w:tblPr>
      <w:tblGrid>
        <w:gridCol w:w="1106"/>
        <w:gridCol w:w="3626"/>
        <w:gridCol w:w="3626"/>
      </w:tblGrid>
      <w:tr w14:paraId="5105F4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PrEx>
        <w:trPr>
          <w:trHeight w:val="467" w:hRule="atLeast"/>
          <w:jc w:val="center"/>
        </w:trPr>
        <w:tc>
          <w:tcPr>
            <w:tcW w:w="1106" w:type="dxa"/>
            <w:shd w:val="clear" w:color="auto" w:fill="auto"/>
            <w:vAlign w:val="center"/>
          </w:tcPr>
          <w:p w14:paraId="43A4700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事故类型</w:t>
            </w:r>
          </w:p>
        </w:tc>
        <w:tc>
          <w:tcPr>
            <w:tcW w:w="3626" w:type="dxa"/>
            <w:shd w:val="clear" w:color="auto" w:fill="auto"/>
            <w:vAlign w:val="center"/>
          </w:tcPr>
          <w:p w14:paraId="061D136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突发环境事件的最坏情景</w:t>
            </w:r>
          </w:p>
        </w:tc>
        <w:tc>
          <w:tcPr>
            <w:tcW w:w="3626" w:type="dxa"/>
            <w:shd w:val="clear" w:color="auto" w:fill="auto"/>
            <w:vAlign w:val="center"/>
          </w:tcPr>
          <w:p w14:paraId="4118516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危害后果</w:t>
            </w:r>
          </w:p>
        </w:tc>
      </w:tr>
      <w:tr w14:paraId="3D60EA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2560" w:hRule="atLeast"/>
          <w:jc w:val="center"/>
        </w:trPr>
        <w:tc>
          <w:tcPr>
            <w:tcW w:w="1106" w:type="dxa"/>
            <w:tcBorders>
              <w:bottom w:val="nil"/>
            </w:tcBorders>
            <w:shd w:val="clear" w:color="auto" w:fill="auto"/>
            <w:vAlign w:val="center"/>
          </w:tcPr>
          <w:p w14:paraId="0C65D91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风险物质泄漏事故</w:t>
            </w:r>
          </w:p>
        </w:tc>
        <w:tc>
          <w:tcPr>
            <w:tcW w:w="3626" w:type="dxa"/>
            <w:shd w:val="clear" w:color="auto" w:fill="auto"/>
            <w:vAlign w:val="center"/>
          </w:tcPr>
          <w:p w14:paraId="402ABF2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危废暂存间废切削液、废液压油及锻造回收的废矿物油在露天转移过程若发生泄漏，若泄漏点周边有雨水篦子，泄漏物质可能进入雨水管网</w:t>
            </w:r>
          </w:p>
        </w:tc>
        <w:tc>
          <w:tcPr>
            <w:tcW w:w="3626" w:type="dxa"/>
            <w:shd w:val="clear" w:color="auto" w:fill="auto"/>
            <w:vAlign w:val="center"/>
          </w:tcPr>
          <w:p w14:paraId="35CAFE6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eastAsia="zh-CN"/>
              </w:rPr>
            </w:pPr>
            <w:r>
              <w:rPr>
                <w:rFonts w:hint="default" w:ascii="Times New Roman" w:hAnsi="Times New Roman" w:eastAsia="仿宋" w:cs="Times New Roman"/>
                <w:spacing w:val="0"/>
                <w:sz w:val="24"/>
                <w:szCs w:val="24"/>
                <w:highlight w:val="none"/>
              </w:rPr>
              <w:t>若应急处置不当可能使泄漏的油类物质进入雨水系统，通过雨水管网外排，造成西区景观河、红排河中石油类浓度升高</w:t>
            </w:r>
            <w:r>
              <w:rPr>
                <w:rFonts w:hint="default" w:ascii="Times New Roman" w:hAnsi="Times New Roman" w:eastAsia="仿宋" w:cs="Times New Roman"/>
                <w:spacing w:val="0"/>
                <w:sz w:val="24"/>
                <w:szCs w:val="24"/>
                <w:highlight w:val="none"/>
                <w:lang w:eastAsia="zh-CN"/>
              </w:rPr>
              <w:t>。</w:t>
            </w:r>
          </w:p>
        </w:tc>
      </w:tr>
      <w:tr w14:paraId="258C1DE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313" w:hRule="atLeast"/>
          <w:jc w:val="center"/>
        </w:trPr>
        <w:tc>
          <w:tcPr>
            <w:tcW w:w="1106" w:type="dxa"/>
            <w:shd w:val="clear" w:color="auto" w:fill="auto"/>
            <w:vAlign w:val="center"/>
          </w:tcPr>
          <w:p w14:paraId="3763450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火灾爆炸事故可能引起的次生影响</w:t>
            </w:r>
          </w:p>
        </w:tc>
        <w:tc>
          <w:tcPr>
            <w:tcW w:w="3626" w:type="dxa"/>
            <w:shd w:val="clear" w:color="auto" w:fill="auto"/>
            <w:vAlign w:val="center"/>
          </w:tcPr>
          <w:p w14:paraId="0CB1DAA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涉及天然气中的甲烷</w:t>
            </w:r>
            <w:r>
              <w:rPr>
                <w:rFonts w:hint="default" w:ascii="Times New Roman" w:hAnsi="Times New Roman" w:eastAsia="仿宋" w:cs="Times New Roman"/>
                <w:spacing w:val="0"/>
                <w:sz w:val="24"/>
                <w:szCs w:val="24"/>
                <w:highlight w:val="none"/>
                <w:lang w:val="en-US" w:eastAsia="zh-CN"/>
              </w:rPr>
              <w:t>和</w:t>
            </w:r>
            <w:r>
              <w:rPr>
                <w:rFonts w:hint="default" w:ascii="Times New Roman" w:hAnsi="Times New Roman" w:eastAsia="仿宋" w:cs="Times New Roman"/>
                <w:spacing w:val="0"/>
                <w:sz w:val="24"/>
                <w:szCs w:val="24"/>
                <w:highlight w:val="none"/>
              </w:rPr>
              <w:t>矿物油</w:t>
            </w:r>
            <w:r>
              <w:rPr>
                <w:rFonts w:hint="default" w:ascii="Times New Roman" w:hAnsi="Times New Roman" w:eastAsia="仿宋" w:cs="Times New Roman"/>
                <w:spacing w:val="0"/>
                <w:sz w:val="24"/>
                <w:szCs w:val="24"/>
                <w:highlight w:val="none"/>
                <w:lang w:val="en-US" w:eastAsia="zh-CN"/>
              </w:rPr>
              <w:t>类</w:t>
            </w:r>
            <w:r>
              <w:rPr>
                <w:rFonts w:hint="default" w:ascii="Times New Roman" w:hAnsi="Times New Roman" w:eastAsia="仿宋" w:cs="Times New Roman"/>
                <w:spacing w:val="0"/>
                <w:sz w:val="24"/>
                <w:szCs w:val="24"/>
                <w:highlight w:val="none"/>
              </w:rPr>
              <w:t>物质发生泄漏后，遇明火可能发生火灾事故</w:t>
            </w:r>
          </w:p>
        </w:tc>
        <w:tc>
          <w:tcPr>
            <w:tcW w:w="3626" w:type="dxa"/>
            <w:shd w:val="clear" w:color="auto" w:fill="auto"/>
            <w:vAlign w:val="center"/>
          </w:tcPr>
          <w:p w14:paraId="3DBD79E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eastAsia="zh-CN"/>
              </w:rPr>
            </w:pPr>
            <w:r>
              <w:rPr>
                <w:rFonts w:hint="default" w:ascii="Times New Roman" w:hAnsi="Times New Roman" w:eastAsia="仿宋" w:cs="Times New Roman"/>
                <w:spacing w:val="0"/>
                <w:sz w:val="24"/>
                <w:szCs w:val="24"/>
                <w:highlight w:val="none"/>
              </w:rPr>
              <w:t>火灾事故将使空气中CO浓度短时间增加。若未及时切断雨水外排，消防废水经雨水排放口流出，可能对西区景观河、红排河水质造成影响，可能造成水体中污染物浓度短时间增加</w:t>
            </w:r>
            <w:r>
              <w:rPr>
                <w:rFonts w:hint="default" w:ascii="Times New Roman" w:hAnsi="Times New Roman" w:eastAsia="仿宋" w:cs="Times New Roman"/>
                <w:spacing w:val="0"/>
                <w:sz w:val="24"/>
                <w:szCs w:val="24"/>
                <w:highlight w:val="none"/>
                <w:lang w:eastAsia="zh-CN"/>
              </w:rPr>
              <w:t>。</w:t>
            </w:r>
          </w:p>
        </w:tc>
      </w:tr>
      <w:tr w14:paraId="0DF9B9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shd w:val="clear" w:color="auto" w:fill="auto"/>
          <w:tblCellMar>
            <w:top w:w="0" w:type="dxa"/>
            <w:left w:w="0" w:type="dxa"/>
            <w:bottom w:w="0" w:type="dxa"/>
            <w:right w:w="0" w:type="dxa"/>
          </w:tblCellMar>
        </w:tblPrEx>
        <w:trPr>
          <w:trHeight w:val="1848" w:hRule="atLeast"/>
          <w:jc w:val="center"/>
        </w:trPr>
        <w:tc>
          <w:tcPr>
            <w:tcW w:w="1106" w:type="dxa"/>
            <w:shd w:val="clear" w:color="auto" w:fill="auto"/>
            <w:vAlign w:val="center"/>
          </w:tcPr>
          <w:p w14:paraId="3E76148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污染治理设施非正常运行</w:t>
            </w:r>
          </w:p>
        </w:tc>
        <w:tc>
          <w:tcPr>
            <w:tcW w:w="3626" w:type="dxa"/>
            <w:shd w:val="clear" w:color="auto" w:fill="auto"/>
            <w:vAlign w:val="center"/>
          </w:tcPr>
          <w:p w14:paraId="7726C62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低氮燃烧器+烟气再循环技术处理装置失效，燃气废气产生的二氧化硫、氮氧化物、一氧化碳会不经处理直接通过排气筒排放；</w:t>
            </w:r>
          </w:p>
        </w:tc>
        <w:tc>
          <w:tcPr>
            <w:tcW w:w="3626" w:type="dxa"/>
            <w:shd w:val="clear" w:color="auto" w:fill="auto"/>
            <w:vAlign w:val="center"/>
          </w:tcPr>
          <w:p w14:paraId="11F7E72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低氮燃烧器+烟气再循环技术处理装置失效时，二氧化硫、氮氧化物、一氧化碳直接排放对环境的最大影响远低于毒性终点浓度-1和毒性终点浓度-2，故废气治理设施失效情况下二氧化硫、氮氧化物、一氧化碳不会对周边人群健康产生有害影响。</w:t>
            </w:r>
          </w:p>
        </w:tc>
      </w:tr>
    </w:tbl>
    <w:p w14:paraId="7A9223FB">
      <w:pPr>
        <w:pStyle w:val="9"/>
        <w:spacing w:line="272" w:lineRule="auto"/>
        <w:rPr>
          <w:rFonts w:hint="eastAsia" w:ascii="仿宋" w:hAnsi="仿宋" w:eastAsia="仿宋" w:cs="仿宋"/>
          <w:highlight w:val="yellow"/>
        </w:rPr>
      </w:pPr>
    </w:p>
    <w:p w14:paraId="6551A68D">
      <w:pPr>
        <w:rPr>
          <w:rFonts w:hint="eastAsia" w:ascii="仿宋" w:hAnsi="仿宋" w:eastAsia="仿宋" w:cs="仿宋"/>
          <w:highlight w:val="yellow"/>
        </w:rPr>
      </w:pPr>
      <w:r>
        <w:rPr>
          <w:rFonts w:hint="eastAsia" w:ascii="仿宋" w:hAnsi="仿宋" w:eastAsia="仿宋" w:cs="仿宋"/>
          <w:highlight w:val="yellow"/>
        </w:rPr>
        <w:br w:type="page"/>
      </w:r>
    </w:p>
    <w:p w14:paraId="77179155">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23" w:name="_Toc2450"/>
      <w:r>
        <w:rPr>
          <w:rFonts w:hint="eastAsia" w:ascii="Times New Roman" w:hAnsi="Times New Roman" w:eastAsia="仿宋" w:cs="Times New Roman"/>
          <w:snapToGrid/>
          <w:highlight w:val="none"/>
          <w:lang w:eastAsia="zh-CN"/>
        </w:rPr>
        <w:t>应急组织机构及职责</w:t>
      </w:r>
      <w:bookmarkEnd w:id="23"/>
    </w:p>
    <w:p w14:paraId="4F73972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公司已建立应急组织机构，负责紧急情况下人员和资源配置、应急处置队伍人员调动、确定现场指挥人员、调查事故原因、组织预案的评审和修订更新、批准预案的启动和终止、负责事故的上报及预案演练等。</w:t>
      </w:r>
    </w:p>
    <w:p w14:paraId="0277AF12">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24" w:name="_Toc5687"/>
      <w:r>
        <w:rPr>
          <w:rFonts w:hint="eastAsia" w:ascii="Times New Roman" w:hAnsi="Times New Roman" w:eastAsia="仿宋" w:cs="Times New Roman"/>
          <w:snapToGrid/>
          <w:sz w:val="30"/>
          <w:szCs w:val="30"/>
          <w:highlight w:val="none"/>
          <w:lang w:eastAsia="zh-CN"/>
        </w:rPr>
        <w:t>应急指挥机构组成</w:t>
      </w:r>
      <w:bookmarkEnd w:id="24"/>
    </w:p>
    <w:p w14:paraId="3787934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eastAsia="zh-CN"/>
        </w:rPr>
      </w:pPr>
      <w:r>
        <w:rPr>
          <w:rFonts w:hint="eastAsia" w:ascii="Times New Roman" w:hAnsi="Times New Roman" w:eastAsia="仿宋" w:cs="Times New Roman"/>
          <w:color w:val="auto"/>
          <w:spacing w:val="0"/>
          <w:w w:val="100"/>
          <w:sz w:val="28"/>
          <w:szCs w:val="28"/>
          <w:lang w:eastAsia="zh-CN"/>
        </w:rPr>
        <w:t>公司应急组织机构由</w:t>
      </w:r>
      <w:r>
        <w:rPr>
          <w:rFonts w:hint="eastAsia" w:ascii="Times New Roman" w:hAnsi="Times New Roman" w:eastAsia="仿宋" w:cs="Times New Roman"/>
          <w:color w:val="auto"/>
          <w:spacing w:val="0"/>
          <w:w w:val="100"/>
          <w:sz w:val="28"/>
          <w:szCs w:val="28"/>
          <w:lang w:val="en-US" w:eastAsia="zh-CN"/>
        </w:rPr>
        <w:t>应急救援指挥部</w:t>
      </w:r>
      <w:r>
        <w:rPr>
          <w:rFonts w:hint="eastAsia" w:ascii="Times New Roman" w:hAnsi="Times New Roman" w:eastAsia="仿宋" w:cs="Times New Roman"/>
          <w:color w:val="auto"/>
          <w:spacing w:val="0"/>
          <w:w w:val="100"/>
          <w:sz w:val="28"/>
          <w:szCs w:val="28"/>
          <w:lang w:eastAsia="zh-CN"/>
        </w:rPr>
        <w:t>、</w:t>
      </w:r>
      <w:r>
        <w:rPr>
          <w:rFonts w:hint="eastAsia" w:ascii="Times New Roman" w:hAnsi="Times New Roman" w:eastAsia="仿宋" w:cs="Times New Roman"/>
          <w:color w:val="auto"/>
          <w:spacing w:val="0"/>
          <w:w w:val="100"/>
          <w:sz w:val="28"/>
          <w:szCs w:val="28"/>
          <w:lang w:val="en-US" w:eastAsia="zh-CN"/>
        </w:rPr>
        <w:t>应急办公室、抢险救援组、通讯联络组、警戒疏散组、医疗救护组和物资保障组</w:t>
      </w:r>
      <w:r>
        <w:rPr>
          <w:rFonts w:hint="eastAsia" w:ascii="Times New Roman" w:hAnsi="Times New Roman" w:eastAsia="仿宋" w:cs="Times New Roman"/>
          <w:color w:val="auto"/>
          <w:spacing w:val="0"/>
          <w:w w:val="100"/>
          <w:sz w:val="28"/>
          <w:szCs w:val="28"/>
          <w:lang w:eastAsia="zh-CN"/>
        </w:rPr>
        <w:t>组成，各应急专业组由组长和组员构成。组织机构具体见下图。</w:t>
      </w:r>
    </w:p>
    <w:p w14:paraId="7B627F6A">
      <w:pPr>
        <w:pStyle w:val="9"/>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default" w:ascii="Times New Roman" w:hAnsi="Times New Roman" w:eastAsia="仿宋" w:cs="Times New Roman"/>
          <w:spacing w:val="-8"/>
          <w:sz w:val="28"/>
          <w:szCs w:val="28"/>
          <w:highlight w:val="yellow"/>
        </w:rPr>
      </w:pPr>
      <w:r>
        <w:drawing>
          <wp:inline distT="0" distB="0" distL="114300" distR="114300">
            <wp:extent cx="3721735" cy="3115945"/>
            <wp:effectExtent l="0" t="0" r="12065" b="8255"/>
            <wp:docPr id="10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图片 2"/>
                    <pic:cNvPicPr>
                      <a:picLocks noChangeAspect="1"/>
                    </pic:cNvPicPr>
                  </pic:nvPicPr>
                  <pic:blipFill>
                    <a:blip r:embed="rId19"/>
                    <a:stretch>
                      <a:fillRect/>
                    </a:stretch>
                  </pic:blipFill>
                  <pic:spPr>
                    <a:xfrm>
                      <a:off x="0" y="0"/>
                      <a:ext cx="3721735" cy="3115945"/>
                    </a:xfrm>
                    <a:prstGeom prst="rect">
                      <a:avLst/>
                    </a:prstGeom>
                    <a:noFill/>
                    <a:ln>
                      <a:noFill/>
                    </a:ln>
                  </pic:spPr>
                </pic:pic>
              </a:graphicData>
            </a:graphic>
          </wp:inline>
        </w:drawing>
      </w:r>
    </w:p>
    <w:p w14:paraId="7B73BB11">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default" w:ascii="Times New Roman" w:hAnsi="Times New Roman" w:eastAsia="仿宋" w:cs="Times New Roman"/>
          <w:b/>
          <w:bCs/>
          <w:color w:val="auto"/>
          <w:spacing w:val="-7"/>
          <w:sz w:val="24"/>
          <w:szCs w:val="24"/>
        </w:rPr>
      </w:pPr>
      <w:r>
        <w:rPr>
          <w:rFonts w:hint="default" w:ascii="Times New Roman" w:hAnsi="Times New Roman" w:eastAsia="仿宋" w:cs="Times New Roman"/>
          <w:b/>
          <w:bCs/>
          <w:color w:val="auto"/>
          <w:spacing w:val="-7"/>
          <w:sz w:val="24"/>
          <w:szCs w:val="24"/>
        </w:rPr>
        <w:t>图4.1-1 应急组织机构设置图</w:t>
      </w:r>
    </w:p>
    <w:p w14:paraId="50C59B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当发生事故时，应急总指挥（应急总指挥不在时由副总指挥）启动应急预案，通知各应急专业组参加事故应急处理工作。应急指挥机构由应急总指挥、应急副总指挥和各应急专业组的组长组成，具体见下表。</w:t>
      </w:r>
    </w:p>
    <w:p w14:paraId="0B798B7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default" w:ascii="Times New Roman" w:hAnsi="Times New Roman" w:eastAsia="仿宋" w:cs="Times New Roman"/>
          <w:b/>
          <w:bCs/>
          <w:color w:val="auto"/>
          <w:spacing w:val="-7"/>
          <w:sz w:val="24"/>
          <w:szCs w:val="24"/>
        </w:rPr>
      </w:pPr>
      <w:r>
        <w:rPr>
          <w:rFonts w:hint="default" w:ascii="Times New Roman" w:hAnsi="Times New Roman" w:eastAsia="仿宋" w:cs="Times New Roman"/>
          <w:b/>
          <w:bCs/>
          <w:color w:val="auto"/>
          <w:spacing w:val="-7"/>
          <w:sz w:val="24"/>
          <w:szCs w:val="24"/>
        </w:rPr>
        <w:t>表4.1-1 应急指挥机构主要成员组成</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1"/>
        <w:gridCol w:w="1742"/>
        <w:gridCol w:w="1742"/>
        <w:gridCol w:w="1742"/>
        <w:gridCol w:w="1742"/>
      </w:tblGrid>
      <w:tr w14:paraId="76CE9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Align w:val="center"/>
          </w:tcPr>
          <w:p w14:paraId="50769259">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序号</w:t>
            </w:r>
          </w:p>
        </w:tc>
        <w:tc>
          <w:tcPr>
            <w:tcW w:w="1742" w:type="dxa"/>
            <w:vAlign w:val="center"/>
          </w:tcPr>
          <w:p w14:paraId="50C2C046">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组别</w:t>
            </w:r>
          </w:p>
        </w:tc>
        <w:tc>
          <w:tcPr>
            <w:tcW w:w="1742" w:type="dxa"/>
            <w:vAlign w:val="center"/>
          </w:tcPr>
          <w:p w14:paraId="5A0499E6">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职务</w:t>
            </w:r>
          </w:p>
        </w:tc>
        <w:tc>
          <w:tcPr>
            <w:tcW w:w="1742" w:type="dxa"/>
            <w:vAlign w:val="center"/>
          </w:tcPr>
          <w:p w14:paraId="37D06805">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姓名</w:t>
            </w:r>
          </w:p>
        </w:tc>
        <w:tc>
          <w:tcPr>
            <w:tcW w:w="1742" w:type="dxa"/>
            <w:vAlign w:val="center"/>
          </w:tcPr>
          <w:p w14:paraId="5D90571F">
            <w:pPr>
              <w:keepNext w:val="0"/>
              <w:keepLines w:val="0"/>
              <w:pageBreakBefore w:val="0"/>
              <w:widowControl/>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联系方式</w:t>
            </w:r>
          </w:p>
        </w:tc>
      </w:tr>
      <w:tr w14:paraId="227957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049F89F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1</w:t>
            </w:r>
          </w:p>
        </w:tc>
        <w:tc>
          <w:tcPr>
            <w:tcW w:w="1742" w:type="dxa"/>
            <w:vMerge w:val="restart"/>
            <w:shd w:val="clear" w:color="auto" w:fill="auto"/>
            <w:vAlign w:val="center"/>
          </w:tcPr>
          <w:p w14:paraId="2B3E4D2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应急救援指挥部</w:t>
            </w:r>
          </w:p>
        </w:tc>
        <w:tc>
          <w:tcPr>
            <w:tcW w:w="1742" w:type="dxa"/>
            <w:shd w:val="clear" w:color="auto" w:fill="auto"/>
            <w:vAlign w:val="center"/>
          </w:tcPr>
          <w:p w14:paraId="10377F8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总指挥</w:t>
            </w:r>
          </w:p>
        </w:tc>
        <w:tc>
          <w:tcPr>
            <w:tcW w:w="1742" w:type="dxa"/>
            <w:vAlign w:val="center"/>
          </w:tcPr>
          <w:p w14:paraId="378159F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马青梅</w:t>
            </w:r>
          </w:p>
        </w:tc>
        <w:tc>
          <w:tcPr>
            <w:tcW w:w="1742" w:type="dxa"/>
            <w:vAlign w:val="center"/>
          </w:tcPr>
          <w:p w14:paraId="2CB9162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16629060080</w:t>
            </w:r>
          </w:p>
        </w:tc>
      </w:tr>
      <w:tr w14:paraId="11205A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4584169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shd w:val="clear" w:color="auto" w:fill="auto"/>
            <w:vAlign w:val="center"/>
          </w:tcPr>
          <w:p w14:paraId="315542A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p>
        </w:tc>
        <w:tc>
          <w:tcPr>
            <w:tcW w:w="1742" w:type="dxa"/>
            <w:shd w:val="clear" w:color="auto" w:fill="auto"/>
            <w:vAlign w:val="center"/>
          </w:tcPr>
          <w:p w14:paraId="1E2D25D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副总指挥</w:t>
            </w:r>
          </w:p>
        </w:tc>
        <w:tc>
          <w:tcPr>
            <w:tcW w:w="1742" w:type="dxa"/>
            <w:vAlign w:val="center"/>
          </w:tcPr>
          <w:p w14:paraId="1E825BF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杨海猛</w:t>
            </w:r>
          </w:p>
        </w:tc>
        <w:tc>
          <w:tcPr>
            <w:tcW w:w="1742" w:type="dxa"/>
            <w:vAlign w:val="center"/>
          </w:tcPr>
          <w:p w14:paraId="07742BA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16629060061</w:t>
            </w:r>
          </w:p>
        </w:tc>
      </w:tr>
      <w:tr w14:paraId="23AA5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1F20A58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2</w:t>
            </w:r>
          </w:p>
        </w:tc>
        <w:tc>
          <w:tcPr>
            <w:tcW w:w="1742" w:type="dxa"/>
            <w:vMerge w:val="restart"/>
            <w:shd w:val="clear" w:color="auto" w:fill="auto"/>
            <w:vAlign w:val="center"/>
          </w:tcPr>
          <w:p w14:paraId="437136F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应急办公室</w:t>
            </w:r>
          </w:p>
        </w:tc>
        <w:tc>
          <w:tcPr>
            <w:tcW w:w="1742" w:type="dxa"/>
            <w:shd w:val="clear" w:color="auto" w:fill="auto"/>
            <w:vAlign w:val="center"/>
          </w:tcPr>
          <w:p w14:paraId="5CB8C04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主任</w:t>
            </w:r>
          </w:p>
        </w:tc>
        <w:tc>
          <w:tcPr>
            <w:tcW w:w="1742" w:type="dxa"/>
            <w:vAlign w:val="center"/>
          </w:tcPr>
          <w:p w14:paraId="5F13CD7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鲁洁</w:t>
            </w:r>
          </w:p>
        </w:tc>
        <w:tc>
          <w:tcPr>
            <w:tcW w:w="1742" w:type="dxa"/>
            <w:vAlign w:val="center"/>
          </w:tcPr>
          <w:p w14:paraId="6D8BA8B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16629060058</w:t>
            </w:r>
          </w:p>
        </w:tc>
      </w:tr>
      <w:tr w14:paraId="12DC60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18E8F21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shd w:val="clear" w:color="auto" w:fill="auto"/>
            <w:vAlign w:val="center"/>
          </w:tcPr>
          <w:p w14:paraId="159EED3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p>
        </w:tc>
        <w:tc>
          <w:tcPr>
            <w:tcW w:w="1742" w:type="dxa"/>
            <w:shd w:val="clear" w:color="auto" w:fill="auto"/>
            <w:vAlign w:val="center"/>
          </w:tcPr>
          <w:p w14:paraId="5AD60D2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0940C64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王森</w:t>
            </w:r>
          </w:p>
        </w:tc>
        <w:tc>
          <w:tcPr>
            <w:tcW w:w="1742" w:type="dxa"/>
            <w:vAlign w:val="center"/>
          </w:tcPr>
          <w:p w14:paraId="7139E35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16629060060</w:t>
            </w:r>
          </w:p>
        </w:tc>
      </w:tr>
      <w:tr w14:paraId="16DAF4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7BDC270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3</w:t>
            </w:r>
          </w:p>
        </w:tc>
        <w:tc>
          <w:tcPr>
            <w:tcW w:w="1742" w:type="dxa"/>
            <w:vMerge w:val="restart"/>
            <w:vAlign w:val="center"/>
          </w:tcPr>
          <w:p w14:paraId="47A7750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抢险救援组</w:t>
            </w:r>
          </w:p>
        </w:tc>
        <w:tc>
          <w:tcPr>
            <w:tcW w:w="1742" w:type="dxa"/>
            <w:vAlign w:val="center"/>
          </w:tcPr>
          <w:p w14:paraId="2C13182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22EAC5E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杨海猛</w:t>
            </w:r>
          </w:p>
        </w:tc>
        <w:tc>
          <w:tcPr>
            <w:tcW w:w="1742" w:type="dxa"/>
            <w:vAlign w:val="center"/>
          </w:tcPr>
          <w:p w14:paraId="3A5E3FF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16629060061</w:t>
            </w:r>
          </w:p>
        </w:tc>
      </w:tr>
      <w:tr w14:paraId="5EF2F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exact"/>
          <w:jc w:val="center"/>
        </w:trPr>
        <w:tc>
          <w:tcPr>
            <w:tcW w:w="1741" w:type="dxa"/>
            <w:vMerge w:val="continue"/>
            <w:vAlign w:val="center"/>
          </w:tcPr>
          <w:p w14:paraId="558CC96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6984F8A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6483A1B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7EDCC59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丁浩</w:t>
            </w:r>
          </w:p>
        </w:tc>
        <w:tc>
          <w:tcPr>
            <w:tcW w:w="1742" w:type="dxa"/>
            <w:vAlign w:val="center"/>
          </w:tcPr>
          <w:p w14:paraId="4ADE4D1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16629060067</w:t>
            </w:r>
          </w:p>
        </w:tc>
      </w:tr>
      <w:tr w14:paraId="0F248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39ED6F3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12A8581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5DC194E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2F53EA2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魏龙江</w:t>
            </w:r>
          </w:p>
        </w:tc>
        <w:tc>
          <w:tcPr>
            <w:tcW w:w="1742" w:type="dxa"/>
            <w:vAlign w:val="center"/>
          </w:tcPr>
          <w:p w14:paraId="67447DC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16629060086</w:t>
            </w:r>
          </w:p>
        </w:tc>
      </w:tr>
      <w:tr w14:paraId="692693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70414C0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105055C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4204E6F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44C6307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孟繁会</w:t>
            </w:r>
          </w:p>
        </w:tc>
        <w:tc>
          <w:tcPr>
            <w:tcW w:w="1742" w:type="dxa"/>
            <w:vAlign w:val="center"/>
          </w:tcPr>
          <w:p w14:paraId="19DCA6A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16629060089</w:t>
            </w:r>
          </w:p>
        </w:tc>
      </w:tr>
      <w:tr w14:paraId="498B4E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0CFCB29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29FC55F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475CB48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3EDC432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王正</w:t>
            </w:r>
          </w:p>
        </w:tc>
        <w:tc>
          <w:tcPr>
            <w:tcW w:w="1742" w:type="dxa"/>
            <w:vAlign w:val="center"/>
          </w:tcPr>
          <w:p w14:paraId="4C29A5C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15930030702</w:t>
            </w:r>
          </w:p>
        </w:tc>
      </w:tr>
      <w:tr w14:paraId="388A01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3D0ECC5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4</w:t>
            </w:r>
          </w:p>
        </w:tc>
        <w:tc>
          <w:tcPr>
            <w:tcW w:w="1742" w:type="dxa"/>
            <w:vMerge w:val="restart"/>
            <w:vAlign w:val="center"/>
          </w:tcPr>
          <w:p w14:paraId="4ABFCF8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通讯联络组</w:t>
            </w:r>
          </w:p>
        </w:tc>
        <w:tc>
          <w:tcPr>
            <w:tcW w:w="1742" w:type="dxa"/>
            <w:vAlign w:val="center"/>
          </w:tcPr>
          <w:p w14:paraId="0984724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79EB0E8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刘杰</w:t>
            </w:r>
          </w:p>
        </w:tc>
        <w:tc>
          <w:tcPr>
            <w:tcW w:w="1742" w:type="dxa"/>
            <w:vAlign w:val="center"/>
          </w:tcPr>
          <w:p w14:paraId="11BCE5B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16629060081</w:t>
            </w:r>
          </w:p>
        </w:tc>
      </w:tr>
      <w:tr w14:paraId="6B22D7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5A93479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726C3B6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0C3FF6F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427507A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常景普</w:t>
            </w:r>
          </w:p>
        </w:tc>
        <w:tc>
          <w:tcPr>
            <w:tcW w:w="1742" w:type="dxa"/>
            <w:vAlign w:val="center"/>
          </w:tcPr>
          <w:p w14:paraId="7D2B9A8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15510947857</w:t>
            </w:r>
          </w:p>
        </w:tc>
      </w:tr>
      <w:tr w14:paraId="5764CB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209E335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5</w:t>
            </w:r>
          </w:p>
        </w:tc>
        <w:tc>
          <w:tcPr>
            <w:tcW w:w="1742" w:type="dxa"/>
            <w:vMerge w:val="restart"/>
            <w:shd w:val="clear" w:color="auto" w:fill="auto"/>
            <w:vAlign w:val="center"/>
          </w:tcPr>
          <w:p w14:paraId="773FA48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警戒疏散组</w:t>
            </w:r>
          </w:p>
        </w:tc>
        <w:tc>
          <w:tcPr>
            <w:tcW w:w="1742" w:type="dxa"/>
            <w:shd w:val="clear" w:color="auto" w:fill="auto"/>
            <w:vAlign w:val="center"/>
          </w:tcPr>
          <w:p w14:paraId="5C26E8F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0848C42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王峰</w:t>
            </w:r>
          </w:p>
        </w:tc>
        <w:tc>
          <w:tcPr>
            <w:tcW w:w="1742" w:type="dxa"/>
            <w:vAlign w:val="center"/>
          </w:tcPr>
          <w:p w14:paraId="49BAB2B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16629060065</w:t>
            </w:r>
          </w:p>
        </w:tc>
      </w:tr>
      <w:tr w14:paraId="1B16A6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6CC3FAE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shd w:val="clear" w:color="auto" w:fill="auto"/>
            <w:vAlign w:val="center"/>
          </w:tcPr>
          <w:p w14:paraId="7CB0826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en-US"/>
              </w:rPr>
            </w:pPr>
          </w:p>
        </w:tc>
        <w:tc>
          <w:tcPr>
            <w:tcW w:w="1742" w:type="dxa"/>
            <w:shd w:val="clear" w:color="auto" w:fill="auto"/>
            <w:vAlign w:val="center"/>
          </w:tcPr>
          <w:p w14:paraId="427A392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6BD3EB5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郭志伟</w:t>
            </w:r>
          </w:p>
        </w:tc>
        <w:tc>
          <w:tcPr>
            <w:tcW w:w="1742" w:type="dxa"/>
            <w:vAlign w:val="center"/>
          </w:tcPr>
          <w:p w14:paraId="72E1B30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16629060052</w:t>
            </w:r>
          </w:p>
        </w:tc>
      </w:tr>
      <w:tr w14:paraId="042B13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5013499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6</w:t>
            </w:r>
          </w:p>
        </w:tc>
        <w:tc>
          <w:tcPr>
            <w:tcW w:w="1742" w:type="dxa"/>
            <w:vMerge w:val="restart"/>
            <w:vAlign w:val="center"/>
          </w:tcPr>
          <w:p w14:paraId="7CDF44C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医疗救护组</w:t>
            </w:r>
          </w:p>
        </w:tc>
        <w:tc>
          <w:tcPr>
            <w:tcW w:w="1742" w:type="dxa"/>
            <w:shd w:val="clear" w:color="auto" w:fill="auto"/>
            <w:vAlign w:val="center"/>
          </w:tcPr>
          <w:p w14:paraId="6673C44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27C99FB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李华</w:t>
            </w:r>
          </w:p>
        </w:tc>
        <w:tc>
          <w:tcPr>
            <w:tcW w:w="1742" w:type="dxa"/>
            <w:vAlign w:val="center"/>
          </w:tcPr>
          <w:p w14:paraId="573D30C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16629060087</w:t>
            </w:r>
          </w:p>
        </w:tc>
      </w:tr>
      <w:tr w14:paraId="21EAA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53EB95F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07C7E40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shd w:val="clear" w:color="auto" w:fill="auto"/>
            <w:vAlign w:val="center"/>
          </w:tcPr>
          <w:p w14:paraId="6AA84B5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4230185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刘炬彬</w:t>
            </w:r>
          </w:p>
        </w:tc>
        <w:tc>
          <w:tcPr>
            <w:tcW w:w="1742" w:type="dxa"/>
            <w:vAlign w:val="center"/>
          </w:tcPr>
          <w:p w14:paraId="3A12FFD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16629060063</w:t>
            </w:r>
          </w:p>
        </w:tc>
      </w:tr>
      <w:tr w14:paraId="31A1D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6795588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7</w:t>
            </w:r>
          </w:p>
        </w:tc>
        <w:tc>
          <w:tcPr>
            <w:tcW w:w="1742" w:type="dxa"/>
            <w:vMerge w:val="restart"/>
            <w:vAlign w:val="center"/>
          </w:tcPr>
          <w:p w14:paraId="4B87BFC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物资保障组</w:t>
            </w:r>
          </w:p>
        </w:tc>
        <w:tc>
          <w:tcPr>
            <w:tcW w:w="1742" w:type="dxa"/>
            <w:shd w:val="clear" w:color="auto" w:fill="auto"/>
            <w:vAlign w:val="center"/>
          </w:tcPr>
          <w:p w14:paraId="11C07BE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2EF785B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赵新培</w:t>
            </w:r>
          </w:p>
        </w:tc>
        <w:tc>
          <w:tcPr>
            <w:tcW w:w="1742" w:type="dxa"/>
            <w:vAlign w:val="center"/>
          </w:tcPr>
          <w:p w14:paraId="2459B44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16602647535</w:t>
            </w:r>
          </w:p>
        </w:tc>
      </w:tr>
      <w:tr w14:paraId="137248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6B48BDA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735FA18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shd w:val="clear" w:color="auto" w:fill="auto"/>
            <w:vAlign w:val="center"/>
          </w:tcPr>
          <w:p w14:paraId="1E67268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281DA7A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王亚男</w:t>
            </w:r>
          </w:p>
        </w:tc>
        <w:tc>
          <w:tcPr>
            <w:tcW w:w="1742" w:type="dxa"/>
            <w:vAlign w:val="center"/>
          </w:tcPr>
          <w:p w14:paraId="2DEA5DF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16629060085</w:t>
            </w:r>
          </w:p>
        </w:tc>
      </w:tr>
    </w:tbl>
    <w:p w14:paraId="40E21832">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25" w:name="bookmark55"/>
      <w:bookmarkEnd w:id="25"/>
      <w:bookmarkStart w:id="26" w:name="_Toc21485"/>
      <w:r>
        <w:rPr>
          <w:rFonts w:hint="eastAsia" w:ascii="Times New Roman" w:hAnsi="Times New Roman" w:eastAsia="仿宋" w:cs="Times New Roman"/>
          <w:snapToGrid/>
          <w:sz w:val="30"/>
          <w:szCs w:val="30"/>
          <w:highlight w:val="none"/>
          <w:lang w:eastAsia="zh-CN"/>
        </w:rPr>
        <w:t>应急指挥机构的主要职责</w:t>
      </w:r>
      <w:bookmarkEnd w:id="26"/>
    </w:p>
    <w:p w14:paraId="4DC4FCE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指挥机构的主要职责如下：</w:t>
      </w:r>
    </w:p>
    <w:p w14:paraId="17F6F30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（1）贯彻执行国家、当地政府、上级主管部门关于突发环境事件应急处置的方针、政策及有关规定；</w:t>
      </w:r>
    </w:p>
    <w:p w14:paraId="0BC2C3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（2）组织制定突发环境事件应急预案；</w:t>
      </w:r>
    </w:p>
    <w:p w14:paraId="270182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（3）组建突发环境事件应急处置队伍；</w:t>
      </w:r>
    </w:p>
    <w:p w14:paraId="0DD059A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（4）负责应急防范设施的建设；</w:t>
      </w:r>
    </w:p>
    <w:p w14:paraId="525C694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（5）检查、督促做好突发环境事件的预防措施和应急处置的各项准备工作，督促、协助有关部门及时消除有毒有害介质的泄漏；</w:t>
      </w:r>
    </w:p>
    <w:p w14:paraId="79FEF1A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（6）负责组织预案的审批与更新；</w:t>
      </w:r>
    </w:p>
    <w:p w14:paraId="1C994A2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（7）批准应急处置的启动和终止；</w:t>
      </w:r>
    </w:p>
    <w:p w14:paraId="0D6830A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（8）确定现场指挥人员；</w:t>
      </w:r>
    </w:p>
    <w:p w14:paraId="442F60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（9）协调事故现场有关工作；</w:t>
      </w:r>
    </w:p>
    <w:p w14:paraId="54CC65E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（10）负责人员、资源配置和应急队伍的调动；</w:t>
      </w:r>
    </w:p>
    <w:p w14:paraId="3C18BB5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（11）及时向上级报告突发环境事件的具体情况，必要时向有关单位发出增援请求，并向周边单位通报相关情况；</w:t>
      </w:r>
    </w:p>
    <w:p w14:paraId="35B509B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（12）接受上级应急指挥部门或政府的指令和调动，协助事故处理。配合政府部门对环境进行恢复、事故调查、经验教训总结；</w:t>
      </w:r>
    </w:p>
    <w:p w14:paraId="2C078A0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（13）负责保护事故现场及相关数据；</w:t>
      </w:r>
    </w:p>
    <w:p w14:paraId="5D30A5F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（14）有计划地组织实施突发环境事件应急处置的培训和应急预案的演习，负责对员工进行应急知识和基本防护方法的培训。</w:t>
      </w:r>
    </w:p>
    <w:p w14:paraId="3116ED5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指挥机构中各成员的职责如下：</w:t>
      </w:r>
    </w:p>
    <w:p w14:paraId="099285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◆应急总指挥</w:t>
      </w:r>
    </w:p>
    <w:p w14:paraId="0531B9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全面指挥事故现场的应急救援工作。分析紧急状态和警告级别，批准启动和终止紧急反应预案，指挥厂区紧急反应行动，监督现场指挥和协调后勤支援，对外信息发布。</w:t>
      </w:r>
    </w:p>
    <w:p w14:paraId="6A06A2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◆应急副总指挥</w:t>
      </w:r>
    </w:p>
    <w:p w14:paraId="44F6F52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负责事故现场操作的指挥和协调，保证现场反应行动的执行，向企业应急总指挥汇报现场状况，寻求支援。协助总指挥负责具体的指挥工作，当总指挥不在现场时，副总指挥行使总指挥职责。协调事故报警、情况通报等应急救援工作，必要时代表指挥部对外发布有关信息。</w:t>
      </w:r>
    </w:p>
    <w:p w14:paraId="4EAABF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公司应急处置队伍包括抢险救援组、通讯联络组、警戒疏散组、医疗救护组和物资保障组等专业处置队伍。各专业处置队伍具体职责如下：</w:t>
      </w:r>
    </w:p>
    <w:p w14:paraId="4D59952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◆抢险救援组</w:t>
      </w:r>
    </w:p>
    <w:p w14:paraId="5C33CFB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a.接到通知后，小组成员立即奔赴现场，根据事故情形正确配戴个人防护用具，协助事故发生部门迅速切断事故源和排除现场的有毒有害、易燃易爆物质；</w:t>
      </w:r>
    </w:p>
    <w:p w14:paraId="50E5415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b.根据指挥部下达的指令，迅速控制事故，以防扩大；查明有无中毒人员及操作者被困，及时使严重中毒者、被困者脱离危险区域；根据事故具体情况采取针对性的应急处置；现场指导抢救人员，开启现场固定消防装置进行灭火。</w:t>
      </w:r>
    </w:p>
    <w:p w14:paraId="50A761A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c.负责泄漏清理和现场灭火过程的通讯联络，视泄漏量和火灾情况及时向指挥部报告，请求联防力量救援。</w:t>
      </w:r>
    </w:p>
    <w:p w14:paraId="4C1696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◆通讯联络组</w:t>
      </w:r>
    </w:p>
    <w:p w14:paraId="62E0270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a.接到报警后，立即采取措施中断一般外线电话，确保事故处理外线畅通、应急值班室处理事故所用电话迅速、准确无误。</w:t>
      </w:r>
    </w:p>
    <w:p w14:paraId="24E308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b.根据应急指挥的要求通知应急处置队伍及有关部门或下达指令。</w:t>
      </w:r>
    </w:p>
    <w:p w14:paraId="280289D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◆警戒疏散组</w:t>
      </w:r>
    </w:p>
    <w:p w14:paraId="000CABF2">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a.根据泄漏（火灾）事故影响范围，设置禁区，加强警戒，巡逻检</w:t>
      </w:r>
      <w:bookmarkStart w:id="27" w:name="bookmark56"/>
      <w:bookmarkEnd w:id="27"/>
      <w:r>
        <w:rPr>
          <w:rFonts w:hint="eastAsia" w:ascii="Times New Roman" w:hAnsi="Times New Roman" w:eastAsia="仿宋" w:cs="Times New Roman"/>
          <w:color w:val="auto"/>
          <w:spacing w:val="0"/>
          <w:w w:val="100"/>
          <w:sz w:val="28"/>
          <w:szCs w:val="28"/>
          <w:lang w:val="en-US" w:eastAsia="en-US"/>
        </w:rPr>
        <w:t>查，严禁无关人员进入禁区；</w:t>
      </w:r>
    </w:p>
    <w:p w14:paraId="15FF827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b.接到报警后，封闭厂区大门，维持厂区道路交通程序，引导外来救援力量进入事故发生点，严禁外来人员入厂围观；</w:t>
      </w:r>
    </w:p>
    <w:p w14:paraId="16BF8BC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c.到事故发生区域封路，指挥抢救车辆行驶路线；</w:t>
      </w:r>
    </w:p>
    <w:p w14:paraId="51DCCB3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d.负责厂区现场人员疏散，引导消防人员或医护人员进入事故现场。</w:t>
      </w:r>
    </w:p>
    <w:p w14:paraId="167D96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w:t>
      </w:r>
      <w:r>
        <w:rPr>
          <w:rFonts w:hint="eastAsia" w:ascii="Times New Roman" w:hAnsi="Times New Roman" w:eastAsia="仿宋" w:cs="Times New Roman"/>
          <w:color w:val="auto"/>
          <w:spacing w:val="0"/>
          <w:w w:val="100"/>
          <w:sz w:val="28"/>
          <w:szCs w:val="28"/>
          <w:lang w:val="en-US" w:eastAsia="zh-CN"/>
        </w:rPr>
        <w:t>医疗</w:t>
      </w:r>
      <w:r>
        <w:rPr>
          <w:rFonts w:hint="eastAsia" w:ascii="Times New Roman" w:hAnsi="Times New Roman" w:eastAsia="仿宋" w:cs="Times New Roman"/>
          <w:color w:val="auto"/>
          <w:spacing w:val="0"/>
          <w:w w:val="100"/>
          <w:sz w:val="28"/>
          <w:szCs w:val="28"/>
          <w:lang w:val="en-US" w:eastAsia="en-US"/>
        </w:rPr>
        <w:t>救护组</w:t>
      </w:r>
    </w:p>
    <w:p w14:paraId="3ECB8E9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a.熟悉公司危险物质对人体危害的特性及相应的医疗急救措施；</w:t>
      </w:r>
    </w:p>
    <w:p w14:paraId="49E0AA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b.储备足量的急救器材和药品，并能随时取用；</w:t>
      </w:r>
    </w:p>
    <w:p w14:paraId="703F084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c.事故发生后，应迅速做好准备工作，伤者送来后，根据受伤症状，及时采取相应的急救措施对伤者进行急救，重伤员及时转院抢救；</w:t>
      </w:r>
    </w:p>
    <w:p w14:paraId="1A0FB01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d.当急救力量无法满足需要时，向其他医疗单位申请救援并迅速转移伤者。</w:t>
      </w:r>
    </w:p>
    <w:p w14:paraId="197F5B8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w:t>
      </w:r>
      <w:r>
        <w:rPr>
          <w:rFonts w:hint="eastAsia" w:ascii="Times New Roman" w:hAnsi="Times New Roman" w:eastAsia="仿宋" w:cs="Times New Roman"/>
          <w:color w:val="auto"/>
          <w:spacing w:val="0"/>
          <w:w w:val="100"/>
          <w:sz w:val="28"/>
          <w:szCs w:val="28"/>
          <w:lang w:val="en-US" w:eastAsia="zh-CN"/>
        </w:rPr>
        <w:t>物资保障</w:t>
      </w:r>
      <w:r>
        <w:rPr>
          <w:rFonts w:hint="eastAsia" w:ascii="Times New Roman" w:hAnsi="Times New Roman" w:eastAsia="仿宋" w:cs="Times New Roman"/>
          <w:color w:val="auto"/>
          <w:spacing w:val="0"/>
          <w:w w:val="100"/>
          <w:sz w:val="28"/>
          <w:szCs w:val="28"/>
          <w:lang w:val="en-US" w:eastAsia="en-US"/>
        </w:rPr>
        <w:t>组</w:t>
      </w:r>
    </w:p>
    <w:p w14:paraId="564AB10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a.在接到报警后，根据现场实际需要，调用应急物资、装备；</w:t>
      </w:r>
    </w:p>
    <w:p w14:paraId="3EB78B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b.负责抢险救援物质的运输；</w:t>
      </w:r>
    </w:p>
    <w:p w14:paraId="130E012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c.负责对应急物资和应急装备的日常维护和管理，确保其处于良好的备用状态。</w:t>
      </w:r>
    </w:p>
    <w:p w14:paraId="4813E8FD">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28" w:name="_Toc22732"/>
      <w:r>
        <w:rPr>
          <w:rFonts w:hint="eastAsia" w:ascii="Times New Roman" w:hAnsi="Times New Roman" w:eastAsia="仿宋" w:cs="Times New Roman"/>
          <w:snapToGrid/>
          <w:sz w:val="30"/>
          <w:szCs w:val="30"/>
          <w:highlight w:val="none"/>
          <w:lang w:eastAsia="zh-CN"/>
        </w:rPr>
        <w:t>政府主导应急处置后的指挥与协调</w:t>
      </w:r>
      <w:bookmarkEnd w:id="28"/>
    </w:p>
    <w:p w14:paraId="4E885FE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突发环境事件影响到厂外、公司应对能力不足时，及时向天津经济技术开发区生态环境局求援。当由生态环境局等有关部门介入或主导突发环境事件的应急处置工作时，公司内部应急组织机构成员不变，职责由负责应急处置转变为服从指挥，配合相关部门参与处置工作。</w:t>
      </w:r>
    </w:p>
    <w:p w14:paraId="4CAAEF17">
      <w:pPr>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br w:type="page"/>
      </w:r>
    </w:p>
    <w:p w14:paraId="5CC96A54">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29" w:name="bookmark57"/>
      <w:bookmarkEnd w:id="29"/>
      <w:bookmarkStart w:id="30" w:name="bookmark58"/>
      <w:bookmarkEnd w:id="30"/>
      <w:bookmarkStart w:id="31" w:name="_Toc5472"/>
      <w:r>
        <w:rPr>
          <w:rFonts w:hint="eastAsia" w:ascii="Times New Roman" w:hAnsi="Times New Roman" w:eastAsia="仿宋" w:cs="Times New Roman"/>
          <w:snapToGrid/>
          <w:highlight w:val="none"/>
          <w:lang w:eastAsia="zh-CN"/>
        </w:rPr>
        <w:t>预警与信息报送</w:t>
      </w:r>
      <w:bookmarkEnd w:id="31"/>
    </w:p>
    <w:p w14:paraId="74E2F664">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32" w:name="_Toc11903"/>
      <w:r>
        <w:rPr>
          <w:rFonts w:hint="eastAsia" w:ascii="Times New Roman" w:hAnsi="Times New Roman" w:eastAsia="仿宋" w:cs="Times New Roman"/>
          <w:snapToGrid/>
          <w:sz w:val="30"/>
          <w:szCs w:val="30"/>
          <w:highlight w:val="none"/>
          <w:lang w:eastAsia="zh-CN"/>
        </w:rPr>
        <w:t>报警、通讯联络方式</w:t>
      </w:r>
      <w:bookmarkEnd w:id="32"/>
    </w:p>
    <w:p w14:paraId="744F1F3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（1）值班室承担白天、夜间及节假日应急值班，保证24小时接警的畅通，值班电话为</w:t>
      </w:r>
      <w:r>
        <w:rPr>
          <w:rFonts w:hint="eastAsia" w:ascii="Times New Roman" w:hAnsi="Times New Roman" w:eastAsia="仿宋" w:cs="Times New Roman"/>
          <w:color w:val="auto"/>
          <w:spacing w:val="0"/>
          <w:w w:val="100"/>
          <w:sz w:val="28"/>
          <w:szCs w:val="28"/>
          <w:lang w:val="en-US" w:eastAsia="zh-CN"/>
        </w:rPr>
        <w:t>022-59889802</w:t>
      </w:r>
      <w:r>
        <w:rPr>
          <w:rFonts w:hint="eastAsia" w:ascii="Times New Roman" w:hAnsi="Times New Roman" w:eastAsia="仿宋" w:cs="Times New Roman"/>
          <w:color w:val="auto"/>
          <w:spacing w:val="0"/>
          <w:w w:val="100"/>
          <w:sz w:val="28"/>
          <w:szCs w:val="28"/>
          <w:lang w:val="en-US" w:eastAsia="en-US"/>
        </w:rPr>
        <w:t>。遇有环境事故发生，及时通知有关方面。</w:t>
      </w:r>
    </w:p>
    <w:p w14:paraId="6DC09F1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（2）公司与相邻单位及上级政府部门及救援组织机构建立联系，如需外部支援可以迅速与外部联络。</w:t>
      </w:r>
    </w:p>
    <w:p w14:paraId="3E2003C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事故发生时的联络路径和方式张贴在应急指挥部和值班室，确保能够及时地报告事故发生情况，若号码更换，相应的环节也应立即更新。应急指挥部及应急小组成员之间的沟通主要以公司内部对讲机为主。各部门人员使用分机进行通讯联系，严格按照公司规定操作和使用。各部门负责人以上管理人员保证通讯的畅通。</w:t>
      </w:r>
    </w:p>
    <w:p w14:paraId="48E6FD8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（4）厂内、外应急联络电话</w:t>
      </w:r>
    </w:p>
    <w:p w14:paraId="37F7C21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2" w:firstLineChars="200"/>
        <w:jc w:val="both"/>
        <w:textAlignment w:val="baseline"/>
        <w:rPr>
          <w:rFonts w:hint="eastAsia" w:ascii="Times New Roman" w:hAnsi="Times New Roman" w:eastAsia="仿宋" w:cs="Times New Roman"/>
          <w:b/>
          <w:bCs/>
          <w:color w:val="auto"/>
          <w:spacing w:val="0"/>
          <w:w w:val="100"/>
          <w:sz w:val="28"/>
          <w:szCs w:val="28"/>
          <w:lang w:val="en-US" w:eastAsia="en-US"/>
        </w:rPr>
      </w:pPr>
      <w:r>
        <w:rPr>
          <w:rFonts w:hint="eastAsia" w:ascii="Times New Roman" w:hAnsi="Times New Roman" w:eastAsia="仿宋" w:cs="Times New Roman"/>
          <w:b/>
          <w:bCs/>
          <w:color w:val="auto"/>
          <w:spacing w:val="0"/>
          <w:w w:val="100"/>
          <w:sz w:val="28"/>
          <w:szCs w:val="28"/>
          <w:lang w:val="en-US" w:eastAsia="en-US"/>
        </w:rPr>
        <w:t>厂内应急联系方式：</w:t>
      </w:r>
    </w:p>
    <w:p w14:paraId="13BA88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en-US"/>
        </w:rPr>
        <w:t>24小时值守电话：</w:t>
      </w:r>
      <w:r>
        <w:rPr>
          <w:rFonts w:hint="eastAsia" w:ascii="Times New Roman" w:hAnsi="Times New Roman" w:eastAsia="仿宋" w:cs="Times New Roman"/>
          <w:color w:val="auto"/>
          <w:spacing w:val="0"/>
          <w:w w:val="100"/>
          <w:sz w:val="28"/>
          <w:szCs w:val="28"/>
          <w:highlight w:val="none"/>
          <w:lang w:val="en-US" w:eastAsia="zh-CN"/>
        </w:rPr>
        <w:t>022-59889802</w:t>
      </w:r>
    </w:p>
    <w:p w14:paraId="1DA182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应急总指挥电话</w:t>
      </w:r>
      <w:r>
        <w:rPr>
          <w:rFonts w:hint="eastAsia"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16629060080</w:t>
      </w:r>
    </w:p>
    <w:p w14:paraId="791FB5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应急副总指挥电话</w:t>
      </w:r>
      <w:r>
        <w:rPr>
          <w:rFonts w:hint="eastAsia" w:ascii="Times New Roman" w:hAnsi="Times New Roman" w:eastAsia="仿宋" w:cs="Times New Roman"/>
          <w:color w:val="auto"/>
          <w:spacing w:val="0"/>
          <w:w w:val="100"/>
          <w:sz w:val="28"/>
          <w:szCs w:val="28"/>
          <w:lang w:val="en-US" w:eastAsia="zh-CN"/>
        </w:rPr>
        <w:t>：16629060061</w:t>
      </w:r>
    </w:p>
    <w:p w14:paraId="65F57E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厂外应急联系方式：</w:t>
      </w:r>
    </w:p>
    <w:p w14:paraId="4D889C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消防报警：119</w:t>
      </w:r>
    </w:p>
    <w:p w14:paraId="50540A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急救中心：120</w:t>
      </w:r>
    </w:p>
    <w:p w14:paraId="0EF3D48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天津立中车轮有限公司：59889958</w:t>
      </w:r>
    </w:p>
    <w:p w14:paraId="7675BC8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天津经济技术开发区管委会：022-25201117</w:t>
      </w:r>
    </w:p>
    <w:p w14:paraId="2454E93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天津经济技术开发区生态环境局：022-25201119</w:t>
      </w:r>
    </w:p>
    <w:p w14:paraId="6460C4A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开发区消防支队电话：25201319、25201317</w:t>
      </w:r>
    </w:p>
    <w:p w14:paraId="1960F1E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开发区应急局电话：25201705、25201590</w:t>
      </w:r>
    </w:p>
    <w:p w14:paraId="10C357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燃气供应单位：67192160</w:t>
      </w:r>
    </w:p>
    <w:p w14:paraId="2DA6AF6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天津市滨海新区水务局：65305318</w:t>
      </w:r>
    </w:p>
    <w:p w14:paraId="10782EA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天津开发区西区医院电话：28208891</w:t>
      </w:r>
    </w:p>
    <w:p w14:paraId="0B5ACB9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应急总指挥接到可能导致环境污染事故的信息后，应按照分级响应的原则及时启动突发环境事件应急预案，并通知有关部门采取有效措施防止事故影响扩大。当应急救援指挥部认为事故较大，有可能超出本级处置能力时，要及时向天津经济技术开发区生态环境局报告。</w:t>
      </w:r>
    </w:p>
    <w:p w14:paraId="13DAE1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（5）周边单位联系方式</w:t>
      </w:r>
    </w:p>
    <w:p w14:paraId="71383C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天津立中车轮有限公司：59889958</w:t>
      </w:r>
    </w:p>
    <w:p w14:paraId="1420E38D">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33" w:name="_Toc9534"/>
      <w:r>
        <w:rPr>
          <w:rFonts w:hint="eastAsia" w:ascii="Times New Roman" w:hAnsi="Times New Roman" w:eastAsia="仿宋" w:cs="Times New Roman"/>
          <w:snapToGrid/>
          <w:sz w:val="30"/>
          <w:szCs w:val="30"/>
          <w:highlight w:val="none"/>
          <w:lang w:eastAsia="zh-CN"/>
        </w:rPr>
        <w:t>监控预警</w:t>
      </w:r>
      <w:bookmarkEnd w:id="33"/>
    </w:p>
    <w:p w14:paraId="1116BDD2">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34" w:name="_Toc11932"/>
      <w:r>
        <w:rPr>
          <w:rFonts w:hint="eastAsia" w:ascii="Times New Roman" w:hAnsi="Times New Roman" w:eastAsia="仿宋" w:cs="Times New Roman"/>
          <w:sz w:val="30"/>
          <w:szCs w:val="30"/>
          <w:lang w:eastAsia="zh-CN"/>
        </w:rPr>
        <w:t>风险源监控措施</w:t>
      </w:r>
      <w:bookmarkEnd w:id="34"/>
    </w:p>
    <w:p w14:paraId="7387DD4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厂区设有全覆盖的视频监控系统，三期厂房被列为环境重点监控区域。通过视频监控、报警系统等进行实时监控，随时掌握运行情况。三期厂房设有多个可燃气体报警器，厂内设有烟感报警器和手动报警器。</w:t>
      </w:r>
    </w:p>
    <w:p w14:paraId="7A9A51F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厂区设置有专门的EHS部，该部门设置安全主管和环保主管各1人。各生产车间、仓储区操作人员定期自查潜在危险源，记录并告知部门安全负责人，安全负责人告知安全主管。安全主管定期组织检查可燃气体报警器等安全设施运行情况，并定期对公司进行安全隐患排查，并以文件形式保存。</w:t>
      </w:r>
    </w:p>
    <w:p w14:paraId="67EB3042">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35" w:name="_Toc28129"/>
      <w:r>
        <w:rPr>
          <w:rFonts w:hint="eastAsia" w:ascii="Times New Roman" w:hAnsi="Times New Roman" w:eastAsia="仿宋" w:cs="Times New Roman"/>
          <w:sz w:val="30"/>
          <w:szCs w:val="30"/>
          <w:lang w:eastAsia="zh-CN"/>
        </w:rPr>
        <w:t>预警方式、内容</w:t>
      </w:r>
      <w:bookmarkEnd w:id="35"/>
    </w:p>
    <w:p w14:paraId="3372212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初期火灾或风险物质泄漏事故的预警手段包括：值班人员通过视频实时监控系统发现、人工巡视过程发现、烟感报警器报警、可燃气体报警器报警。</w:t>
      </w:r>
    </w:p>
    <w:p w14:paraId="2DDA4225">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36" w:name="_Toc29031"/>
      <w:r>
        <w:rPr>
          <w:rFonts w:hint="eastAsia" w:ascii="Times New Roman" w:hAnsi="Times New Roman" w:eastAsia="仿宋" w:cs="Times New Roman"/>
          <w:sz w:val="30"/>
          <w:szCs w:val="30"/>
          <w:lang w:eastAsia="zh-CN"/>
        </w:rPr>
        <w:t>预警信息收集、研判和发布</w:t>
      </w:r>
      <w:bookmarkEnd w:id="36"/>
    </w:p>
    <w:p w14:paraId="38CD426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人工巡视发现初期火灾或风险物质泄漏后，第一发现人初步评估并确认事故发生，立即警告暴露于危险的操作人员，并立即向现场负责人报告（情况紧急时向应急总指挥报告）。</w:t>
      </w:r>
    </w:p>
    <w:p w14:paraId="7451D2B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现场负责人接到报告或报警后立即赶赴现场，根据事故性质、准确的事故源、泄漏物质的种类和泄漏量、事故的可控程度等对事故预警等级进行研判。</w:t>
      </w:r>
    </w:p>
    <w:p w14:paraId="73496BF3">
      <w:pPr>
        <w:pStyle w:val="5"/>
        <w:keepNext w:val="0"/>
        <w:keepLines w:val="0"/>
        <w:pageBreakBefore w:val="0"/>
        <w:widowControl w:val="0"/>
        <w:numPr>
          <w:ilvl w:val="3"/>
          <w:numId w:val="1"/>
        </w:numPr>
        <w:kinsoku w:val="0"/>
        <w:wordWrap/>
        <w:overflowPunct/>
        <w:topLinePunct w:val="0"/>
        <w:autoSpaceDE w:val="0"/>
        <w:autoSpaceDN w:val="0"/>
        <w:bidi w:val="0"/>
        <w:adjustRightInd w:val="0"/>
        <w:snapToGrid w:val="0"/>
        <w:spacing w:before="0" w:after="0" w:line="360" w:lineRule="auto"/>
        <w:ind w:left="862" w:leftChars="0" w:hanging="862" w:firstLineChars="0"/>
        <w:textAlignment w:val="baseline"/>
        <w:outlineLvl w:val="3"/>
        <w:rPr>
          <w:rFonts w:hint="eastAsia" w:ascii="Times New Roman" w:hAnsi="Times New Roman" w:eastAsia="仿宋" w:cs="Times New Roman"/>
          <w:b/>
          <w:sz w:val="30"/>
          <w:szCs w:val="30"/>
          <w:lang w:val="en-US" w:eastAsia="zh-CN"/>
        </w:rPr>
      </w:pPr>
      <w:r>
        <w:rPr>
          <w:rFonts w:hint="eastAsia" w:ascii="Times New Roman" w:hAnsi="Times New Roman" w:eastAsia="仿宋" w:cs="Times New Roman"/>
          <w:b/>
          <w:sz w:val="30"/>
          <w:szCs w:val="30"/>
          <w:lang w:val="en-US" w:eastAsia="zh-CN"/>
        </w:rPr>
        <w:t>预警等级</w:t>
      </w:r>
    </w:p>
    <w:p w14:paraId="3B7D64D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p>
    <w:p w14:paraId="30F6F24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根据突发环境事件类型情景和自身的应急能力判断预警等级。预警等级由低到高依次分为蓝色预警、黄色预警和红色预警，预警等级与修订前一致。采取的预警方案与修订前基本一致，不同等级的预警发布条件具体如下：</w:t>
      </w:r>
    </w:p>
    <w:p w14:paraId="7987414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◆蓝色预警</w:t>
      </w:r>
    </w:p>
    <w:p w14:paraId="092603F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发生车间级事故，即事故发生区域范围内可控制的小事故，主要包括厂区发生的用灭火器可以控制的小型火灾、有毒有害化学品泄漏事故。此时启动蓝色预警。</w:t>
      </w:r>
    </w:p>
    <w:p w14:paraId="6524FAE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◆黄色预警</w:t>
      </w:r>
    </w:p>
    <w:p w14:paraId="3F9BF0B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发生公司级事故，主要包括厂区可控的火灾事故。预判企业自身力量可以应对时，启动黄色预警。</w:t>
      </w:r>
    </w:p>
    <w:p w14:paraId="25F8422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◆红色预警</w:t>
      </w:r>
    </w:p>
    <w:p w14:paraId="00F911F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发生社会级事故，即事故影响已经超出了企业边界或企业自身能力</w:t>
      </w:r>
      <w:bookmarkStart w:id="37" w:name="bookmark25"/>
      <w:bookmarkEnd w:id="37"/>
      <w:r>
        <w:rPr>
          <w:rFonts w:hint="eastAsia" w:ascii="Times New Roman" w:hAnsi="Times New Roman" w:eastAsia="仿宋" w:cs="Times New Roman"/>
          <w:color w:val="auto"/>
          <w:spacing w:val="0"/>
          <w:w w:val="100"/>
          <w:sz w:val="28"/>
          <w:szCs w:val="28"/>
          <w:lang w:val="en-US" w:eastAsia="en-US"/>
        </w:rPr>
        <w:t>难以应对。事故情景主要为厂区发生大面积火灾事故、消防废水经雨水管网外排的情景。企业自身力量难以应对时，启动红色预警。</w:t>
      </w:r>
    </w:p>
    <w:p w14:paraId="2128F18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蓝色预警由事故区域现场负责人确定、发布，黄色预警和红色预警由应急总指挥根据现场情况研判确定，由应急值班室发布、调整和解除。发布内容包括事故区域、事故类型、预警级别、可能影响范围、警示事项、应采取的措施等。采用广播喇叭及内部电话（包括对讲机、手机等）线路进行预警发布，由应急值班室根据事态情况向公司内部发布事故消息，发出紧急疏散和撤离等警报。</w:t>
      </w:r>
    </w:p>
    <w:p w14:paraId="743D921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预警发布程序见下图。</w:t>
      </w:r>
    </w:p>
    <w:p w14:paraId="6EC16407">
      <w:pPr>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rPr>
          <w:rFonts w:hint="eastAsia" w:ascii="仿宋" w:hAnsi="仿宋" w:eastAsia="仿宋" w:cs="仿宋"/>
          <w:spacing w:val="-5"/>
          <w:sz w:val="27"/>
          <w:szCs w:val="27"/>
          <w:highlight w:val="yellow"/>
        </w:rPr>
      </w:pPr>
      <w:r>
        <w:drawing>
          <wp:inline distT="0" distB="0" distL="114300" distR="114300">
            <wp:extent cx="4610100" cy="3940810"/>
            <wp:effectExtent l="0" t="0" r="0" b="2540"/>
            <wp:docPr id="10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图片 3"/>
                    <pic:cNvPicPr>
                      <a:picLocks noChangeAspect="1"/>
                    </pic:cNvPicPr>
                  </pic:nvPicPr>
                  <pic:blipFill>
                    <a:blip r:embed="rId20"/>
                    <a:stretch>
                      <a:fillRect/>
                    </a:stretch>
                  </pic:blipFill>
                  <pic:spPr>
                    <a:xfrm>
                      <a:off x="0" y="0"/>
                      <a:ext cx="4610100" cy="3940810"/>
                    </a:xfrm>
                    <a:prstGeom prst="rect">
                      <a:avLst/>
                    </a:prstGeom>
                    <a:noFill/>
                    <a:ln>
                      <a:noFill/>
                    </a:ln>
                  </pic:spPr>
                </pic:pic>
              </a:graphicData>
            </a:graphic>
          </wp:inline>
        </w:drawing>
      </w:r>
    </w:p>
    <w:p w14:paraId="5F2EA4F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图5.2-1 预警发布程序示意图</w:t>
      </w:r>
    </w:p>
    <w:p w14:paraId="4CB980E6">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38" w:name="_Toc26755"/>
      <w:r>
        <w:rPr>
          <w:rFonts w:hint="eastAsia" w:ascii="Times New Roman" w:hAnsi="Times New Roman" w:eastAsia="仿宋" w:cs="Times New Roman"/>
          <w:sz w:val="30"/>
          <w:szCs w:val="30"/>
          <w:lang w:eastAsia="zh-CN"/>
        </w:rPr>
        <w:t>预警级别调整和解除</w:t>
      </w:r>
      <w:bookmarkEnd w:id="38"/>
    </w:p>
    <w:p w14:paraId="0D226DE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根据事态发展情况和采取措施的效果及时调整预警等级。污染事故得到控制，应急总指挥下达预警警报解除命令，通知公司各部门解除警戒，进入善后处置。预警级别调整和解除程序见下图。</w:t>
      </w:r>
    </w:p>
    <w:p w14:paraId="1620AE6A">
      <w:pPr>
        <w:keepNext w:val="0"/>
        <w:keepLines w:val="0"/>
        <w:pageBreakBefore w:val="0"/>
        <w:widowControl w:val="0"/>
        <w:kinsoku w:val="0"/>
        <w:wordWrap/>
        <w:overflowPunct/>
        <w:topLinePunct w:val="0"/>
        <w:autoSpaceDE w:val="0"/>
        <w:autoSpaceDN w:val="0"/>
        <w:bidi w:val="0"/>
        <w:adjustRightInd w:val="0"/>
        <w:snapToGrid w:val="0"/>
        <w:spacing w:line="240" w:lineRule="auto"/>
        <w:ind w:firstLine="0"/>
        <w:jc w:val="center"/>
        <w:textAlignment w:val="baseline"/>
        <w:rPr>
          <w:rFonts w:hint="eastAsia" w:ascii="仿宋" w:hAnsi="仿宋" w:eastAsia="仿宋" w:cs="仿宋"/>
          <w:highlight w:val="yellow"/>
        </w:rPr>
      </w:pPr>
      <w:r>
        <w:drawing>
          <wp:inline distT="0" distB="0" distL="114300" distR="114300">
            <wp:extent cx="5343525" cy="4995545"/>
            <wp:effectExtent l="0" t="0" r="9525" b="14605"/>
            <wp:docPr id="107"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图片 5"/>
                    <pic:cNvPicPr>
                      <a:picLocks noChangeAspect="1"/>
                    </pic:cNvPicPr>
                  </pic:nvPicPr>
                  <pic:blipFill>
                    <a:blip r:embed="rId21"/>
                    <a:stretch>
                      <a:fillRect/>
                    </a:stretch>
                  </pic:blipFill>
                  <pic:spPr>
                    <a:xfrm>
                      <a:off x="0" y="0"/>
                      <a:ext cx="5343525" cy="4995545"/>
                    </a:xfrm>
                    <a:prstGeom prst="rect">
                      <a:avLst/>
                    </a:prstGeom>
                    <a:noFill/>
                    <a:ln>
                      <a:noFill/>
                    </a:ln>
                  </pic:spPr>
                </pic:pic>
              </a:graphicData>
            </a:graphic>
          </wp:inline>
        </w:drawing>
      </w:r>
    </w:p>
    <w:p w14:paraId="2159601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图5.2-2 预警级别调整和解除程序</w:t>
      </w:r>
    </w:p>
    <w:p w14:paraId="7898ED02">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39" w:name="bookmark27"/>
      <w:bookmarkEnd w:id="39"/>
      <w:bookmarkStart w:id="40" w:name="_Toc27922"/>
      <w:r>
        <w:rPr>
          <w:rFonts w:hint="eastAsia" w:ascii="Times New Roman" w:hAnsi="Times New Roman" w:eastAsia="仿宋" w:cs="Times New Roman"/>
          <w:snapToGrid/>
          <w:sz w:val="30"/>
          <w:szCs w:val="30"/>
          <w:highlight w:val="none"/>
          <w:lang w:eastAsia="zh-CN"/>
        </w:rPr>
        <w:t>信息报告与处置</w:t>
      </w:r>
      <w:bookmarkEnd w:id="40"/>
    </w:p>
    <w:p w14:paraId="76BDEA9A">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41" w:name="_Toc5357"/>
      <w:r>
        <w:rPr>
          <w:rFonts w:hint="eastAsia" w:ascii="Times New Roman" w:hAnsi="Times New Roman" w:eastAsia="仿宋" w:cs="Times New Roman"/>
          <w:sz w:val="30"/>
          <w:szCs w:val="30"/>
          <w:lang w:eastAsia="zh-CN"/>
        </w:rPr>
        <w:t>企业内部报告</w:t>
      </w:r>
      <w:bookmarkEnd w:id="41"/>
    </w:p>
    <w:p w14:paraId="1CA5B7D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24小时有效报警程序：</w:t>
      </w:r>
    </w:p>
    <w:p w14:paraId="34E0DD49">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人工报警：要求每位员工熟悉报警电话，不能使用易产生电火花的通讯工具。</w:t>
      </w:r>
    </w:p>
    <w:p w14:paraId="376F67F1">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各部门加强对各危险源的监控，对可能引发环境风险物质泄漏、火灾等事故的重要信息及时上报。企业内部报告程序为：第一发现人发现事故情况后，立即向公司现场负责人报告，现场负责人接到报警后，根</w:t>
      </w:r>
      <w:bookmarkStart w:id="42" w:name="bookmark59"/>
      <w:bookmarkEnd w:id="42"/>
      <w:r>
        <w:rPr>
          <w:rFonts w:hint="eastAsia" w:ascii="Times New Roman" w:hAnsi="Times New Roman" w:eastAsia="仿宋" w:cs="Times New Roman"/>
          <w:color w:val="auto"/>
          <w:spacing w:val="0"/>
          <w:w w:val="100"/>
          <w:sz w:val="28"/>
          <w:szCs w:val="28"/>
          <w:lang w:val="en-US" w:eastAsia="en-US"/>
        </w:rPr>
        <w:t>据事故发生地点、种类、强度和事故可能危害方向以及事故发展趋势等情况通知应急指挥部，应急指挥部立即用电话等通讯工具通知应急指挥部成员、各组长， 各应急处置队伍按应急处理程序进行现场应急反应。</w:t>
      </w:r>
    </w:p>
    <w:p w14:paraId="75E796A9">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43" w:name="_Toc25399"/>
      <w:r>
        <w:rPr>
          <w:rFonts w:hint="eastAsia" w:ascii="Times New Roman" w:hAnsi="Times New Roman" w:eastAsia="仿宋" w:cs="Times New Roman"/>
          <w:sz w:val="30"/>
          <w:szCs w:val="30"/>
          <w:lang w:eastAsia="zh-CN"/>
        </w:rPr>
        <w:t>信息上报</w:t>
      </w:r>
      <w:bookmarkEnd w:id="43"/>
    </w:p>
    <w:p w14:paraId="353DD9E6">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当超过本公司的应急能力需要外界支持时，应立即向天津经济技术开发区有关应急救援部门求援（消防、</w:t>
      </w:r>
      <w:r>
        <w:rPr>
          <w:rFonts w:hint="eastAsia" w:ascii="Times New Roman" w:hAnsi="Times New Roman" w:eastAsia="仿宋" w:cs="Times New Roman"/>
          <w:color w:val="auto"/>
          <w:spacing w:val="0"/>
          <w:w w:val="100"/>
          <w:sz w:val="28"/>
          <w:szCs w:val="28"/>
          <w:lang w:val="en-US" w:eastAsia="zh-CN"/>
        </w:rPr>
        <w:t>应急</w:t>
      </w:r>
      <w:r>
        <w:rPr>
          <w:rFonts w:hint="eastAsia" w:ascii="Times New Roman" w:hAnsi="Times New Roman" w:eastAsia="仿宋" w:cs="Times New Roman"/>
          <w:color w:val="auto"/>
          <w:spacing w:val="0"/>
          <w:w w:val="100"/>
          <w:sz w:val="28"/>
          <w:szCs w:val="28"/>
          <w:lang w:val="en-US" w:eastAsia="en-US"/>
        </w:rPr>
        <w:t>、医疗、环保等），报告事故情况（包括伤亡人员、发生事故时间、地点、原因等），当事故可能影响相邻企业或人员时应立即通知对方。</w:t>
      </w:r>
    </w:p>
    <w:p w14:paraId="349F5EAE">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44" w:name="_Toc13174"/>
      <w:r>
        <w:rPr>
          <w:rFonts w:hint="eastAsia" w:ascii="Times New Roman" w:hAnsi="Times New Roman" w:eastAsia="仿宋" w:cs="Times New Roman"/>
          <w:sz w:val="30"/>
          <w:szCs w:val="30"/>
          <w:lang w:eastAsia="zh-CN"/>
        </w:rPr>
        <w:t>报告内容</w:t>
      </w:r>
      <w:bookmarkEnd w:id="44"/>
    </w:p>
    <w:p w14:paraId="78B84F6C">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通报分为公司内部通报、外部通报和报告。</w:t>
      </w:r>
    </w:p>
    <w:p w14:paraId="7C087AB0">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公司通报系统以应急值班室向外通报，依实际灾害状况做必要的通报，当灾害程度提升时，应根据发生灾害之物质，泄漏或火灾程度，风向等适当的通报。</w:t>
      </w:r>
    </w:p>
    <w:p w14:paraId="5B9D16E0">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（1）公司内通报：</w:t>
      </w:r>
    </w:p>
    <w:p w14:paraId="32EC826E">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在事故发生后，应急总指挥做出判断，第一时间由应急值班室通知各应急处置小组人员进行紧急集合，根据各自职责开展应急工作。</w:t>
      </w:r>
    </w:p>
    <w:p w14:paraId="745EAD89">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（2）政府等相关部门报告：</w:t>
      </w:r>
    </w:p>
    <w:p w14:paraId="15AFADED">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当紧急事故发生时根据应急预案中列出的消防单位、医院及政府相关单位等电话请求支援，报告事故现场情况。应急值班室依通报表联络各单位时，务必注意到通报以最短时间清楚地通知以争取时效，通报者可根据下面格式进行通报。</w:t>
      </w:r>
    </w:p>
    <w:p w14:paraId="63DF1BB9">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通报如下所述：</w:t>
      </w:r>
    </w:p>
    <w:p w14:paraId="331A3B75">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&lt;1&gt;通 报 者：      公司      厂        </w:t>
      </w:r>
      <w:r>
        <w:rPr>
          <w:rFonts w:hint="eastAsia"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姓名</w:t>
      </w:r>
      <w:r>
        <w:rPr>
          <w:rFonts w:hint="eastAsia"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报告</w:t>
      </w:r>
    </w:p>
    <w:p w14:paraId="21855DA8">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&lt;2&gt;灾害地点：             </w:t>
      </w:r>
      <w:r>
        <w:rPr>
          <w:rFonts w:hint="eastAsia"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具体地点</w:t>
      </w:r>
      <w:r>
        <w:rPr>
          <w:rFonts w:hint="eastAsia" w:ascii="Times New Roman" w:hAnsi="Times New Roman" w:eastAsia="仿宋" w:cs="Times New Roman"/>
          <w:color w:val="auto"/>
          <w:spacing w:val="0"/>
          <w:w w:val="100"/>
          <w:sz w:val="28"/>
          <w:szCs w:val="28"/>
          <w:lang w:val="en-US" w:eastAsia="zh-CN"/>
        </w:rPr>
        <w:t>）</w:t>
      </w:r>
    </w:p>
    <w:p w14:paraId="54272A00">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&lt;3&gt;时       间：于        日         点       分发生</w:t>
      </w:r>
    </w:p>
    <w:p w14:paraId="4D617A08">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&lt;4&gt;灾害种类：             </w:t>
      </w:r>
      <w:r>
        <w:rPr>
          <w:rFonts w:hint="eastAsia"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火灾，泄漏事故</w:t>
      </w:r>
      <w:r>
        <w:rPr>
          <w:rFonts w:hint="eastAsia" w:ascii="Times New Roman" w:hAnsi="Times New Roman" w:eastAsia="仿宋" w:cs="Times New Roman"/>
          <w:color w:val="auto"/>
          <w:spacing w:val="0"/>
          <w:w w:val="100"/>
          <w:sz w:val="28"/>
          <w:szCs w:val="28"/>
          <w:lang w:val="en-US" w:eastAsia="zh-CN"/>
        </w:rPr>
        <w:t>）</w:t>
      </w:r>
    </w:p>
    <w:p w14:paraId="620251EB">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&lt;5&gt;灾害程度：                           （污染物的种类数量，已污染的范围）</w:t>
      </w:r>
    </w:p>
    <w:p w14:paraId="6CB3DE17">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&lt;6&gt;灾       情：                                 （已造成或则可能造成的人员伤亡情况和潜在的危害程度，转化方向趋向，可能受影响区域）</w:t>
      </w:r>
    </w:p>
    <w:p w14:paraId="13F1AD55">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&lt;7&gt;请求支援：请提供                </w:t>
      </w:r>
      <w:r>
        <w:rPr>
          <w:rFonts w:hint="eastAsia"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项目，数量</w:t>
      </w:r>
      <w:r>
        <w:rPr>
          <w:rFonts w:hint="eastAsia" w:ascii="Times New Roman" w:hAnsi="Times New Roman" w:eastAsia="仿宋" w:cs="Times New Roman"/>
          <w:color w:val="auto"/>
          <w:spacing w:val="0"/>
          <w:w w:val="100"/>
          <w:sz w:val="28"/>
          <w:szCs w:val="28"/>
          <w:lang w:val="en-US" w:eastAsia="zh-CN"/>
        </w:rPr>
        <w:t>）</w:t>
      </w:r>
    </w:p>
    <w:p w14:paraId="15886021">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&lt;8&gt;联络电话：</w:t>
      </w:r>
      <w:r>
        <w:rPr>
          <w:rFonts w:hint="eastAsia" w:ascii="Times New Roman" w:hAnsi="Times New Roman" w:eastAsia="仿宋" w:cs="Times New Roman"/>
          <w:color w:val="auto"/>
          <w:spacing w:val="0"/>
          <w:w w:val="100"/>
          <w:sz w:val="28"/>
          <w:szCs w:val="28"/>
          <w:lang w:val="en-US" w:eastAsia="zh-CN"/>
        </w:rPr>
        <w:t>16629060081</w:t>
      </w:r>
    </w:p>
    <w:p w14:paraId="7BD774F3">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（3）周边单位通报：</w:t>
      </w:r>
    </w:p>
    <w:p w14:paraId="726F6717">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厂区发生可能影响周边的事故时，企业应急值班室第一时间通知周边可能受影响的企业。通知方式为电话通知或委托天津经济技术开发区生态环境局通知等。通报内容包括事故已造成或可能造成的污染情况、企业应采取的避险措施等。</w:t>
      </w:r>
    </w:p>
    <w:p w14:paraId="7F2DCDD9">
      <w:pPr>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br w:type="page"/>
      </w:r>
    </w:p>
    <w:p w14:paraId="2CD68778">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45" w:name="bookmark60"/>
      <w:bookmarkEnd w:id="45"/>
      <w:bookmarkStart w:id="46" w:name="_Toc11089"/>
      <w:r>
        <w:rPr>
          <w:rFonts w:hint="eastAsia" w:ascii="Times New Roman" w:hAnsi="Times New Roman" w:eastAsia="仿宋" w:cs="Times New Roman"/>
          <w:snapToGrid/>
          <w:highlight w:val="none"/>
          <w:lang w:eastAsia="zh-CN"/>
        </w:rPr>
        <w:t>应急响应和措施</w:t>
      </w:r>
      <w:bookmarkEnd w:id="46"/>
    </w:p>
    <w:p w14:paraId="39F130B4">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47" w:name="_Toc31789"/>
      <w:r>
        <w:rPr>
          <w:rFonts w:hint="eastAsia" w:ascii="Times New Roman" w:hAnsi="Times New Roman" w:eastAsia="仿宋" w:cs="Times New Roman"/>
          <w:snapToGrid/>
          <w:sz w:val="30"/>
          <w:szCs w:val="30"/>
          <w:highlight w:val="none"/>
          <w:lang w:eastAsia="zh-CN"/>
        </w:rPr>
        <w:t>分级响应机制</w:t>
      </w:r>
      <w:bookmarkEnd w:id="47"/>
    </w:p>
    <w:p w14:paraId="56534FD1">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根据《国务院办公厅关于印发国家突发环境事件应急预案的通知》（国办函〔2014〕119号），结合企业的具体情况，将企业突发环境事件定为一般环境事件</w:t>
      </w:r>
      <w:r>
        <w:rPr>
          <w:rFonts w:hint="default" w:ascii="Times New Roman" w:hAnsi="Times New Roman" w:eastAsia="仿宋" w:cs="Times New Roman"/>
          <w:color w:val="auto"/>
          <w:spacing w:val="0"/>
          <w:w w:val="100"/>
          <w:sz w:val="28"/>
          <w:szCs w:val="28"/>
          <w:lang w:val="en-US" w:eastAsia="zh-CN"/>
        </w:rPr>
        <w:t>（</w:t>
      </w:r>
      <w:r>
        <w:rPr>
          <w:rFonts w:hint="default" w:ascii="Times New Roman" w:hAnsi="Times New Roman" w:eastAsia="仿宋" w:cs="Times New Roman"/>
          <w:color w:val="auto"/>
          <w:spacing w:val="0"/>
          <w:w w:val="100"/>
          <w:sz w:val="28"/>
          <w:szCs w:val="28"/>
          <w:lang w:val="en-US" w:eastAsia="en-US"/>
        </w:rPr>
        <w:t>Ⅳ级</w:t>
      </w:r>
      <w:r>
        <w:rPr>
          <w:rFonts w:hint="default" w:ascii="Times New Roman" w:hAnsi="Times New Roman" w:eastAsia="仿宋" w:cs="Times New Roman"/>
          <w:color w:val="auto"/>
          <w:spacing w:val="0"/>
          <w:w w:val="100"/>
          <w:sz w:val="28"/>
          <w:szCs w:val="28"/>
          <w:lang w:val="en-US" w:eastAsia="zh-CN"/>
        </w:rPr>
        <w:t>）</w:t>
      </w:r>
      <w:r>
        <w:rPr>
          <w:rFonts w:hint="eastAsia" w:ascii="Times New Roman" w:hAnsi="Times New Roman" w:eastAsia="仿宋" w:cs="Times New Roman"/>
          <w:color w:val="auto"/>
          <w:spacing w:val="0"/>
          <w:w w:val="100"/>
          <w:sz w:val="28"/>
          <w:szCs w:val="28"/>
          <w:lang w:val="en-US" w:eastAsia="en-US"/>
        </w:rPr>
        <w:t>以下级别。按突发环境事件的可控性、严重程度和影响范围，将突发环境事件应急处置行动划分为三级响应，由低到高依次为车间级响应、公司级响应和社会级响应。</w:t>
      </w:r>
    </w:p>
    <w:p w14:paraId="5BC39D71">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事故发生后，应急总指挥判断突发事件的紧急程度、危害程度、影响范围，并结合企业内部控制事态的能力确定响应级别，采取相应的应急处置方式。</w:t>
      </w:r>
    </w:p>
    <w:p w14:paraId="6C179FE1">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◆车间级响应</w:t>
      </w:r>
    </w:p>
    <w:p w14:paraId="7717306F">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车间级响应启动条件是车间范围内可控制的小事故，包括厂区发生的初期火灾、用灭火器可以控制的小型火灾和有毒有害化学品泄漏事故。由车间主管/带班主管（非正常工作时间）启动车间级响应，调集所需的应急专业组到现场进行救援，专业组在车间主管/带班主管的指挥下投入救援工作。指挥者协调好应急救援队伍和成员之间的工作。</w:t>
      </w:r>
    </w:p>
    <w:p w14:paraId="0DF22645">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◆公司级响应</w:t>
      </w:r>
    </w:p>
    <w:p w14:paraId="0A4762B4">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级响应启动的情景为厂区可控的火灾事故。由应急总指挥（应急总指挥不在时由应急副总指挥）启动公司级响应，厂区警报拉响，除应急人员外其它人员撤离。应急总指挥（或应急副总指挥）负责现场指挥。应急处置队伍集结，听从应急总指挥（或应急副总指挥）的指挥，在做好自身防护后根据分工实施应急处置。</w:t>
      </w:r>
    </w:p>
    <w:p w14:paraId="69E3630F">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◆社会级响应</w:t>
      </w:r>
    </w:p>
    <w:p w14:paraId="1A438894">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bookmarkStart w:id="48" w:name="bookmark61"/>
      <w:bookmarkEnd w:id="48"/>
      <w:r>
        <w:rPr>
          <w:rFonts w:hint="eastAsia" w:ascii="Times New Roman" w:hAnsi="Times New Roman" w:eastAsia="仿宋" w:cs="Times New Roman"/>
          <w:color w:val="auto"/>
          <w:spacing w:val="0"/>
          <w:w w:val="100"/>
          <w:sz w:val="28"/>
          <w:szCs w:val="28"/>
          <w:lang w:val="en-US" w:eastAsia="en-US"/>
        </w:rPr>
        <w:t>社会级响应启动的条件是现场发生了非常严重的紧急情况，事故已经超出了企业的边界或企业自身力量难以应对。事故情景主要为厂区发生大面积火灾事故、消防废水经雨水管网外排的情景。由应急总指挥负责全面的指挥与协调。应急值班室启动红色预警。应急总指挥第一时间向所在的天津经济技术开发区生态环境局汇报情况，此时公司内部应急组织机构成员不变，职责由负责应急处置转变为服从指挥，配合相关部门参与处置工作。</w:t>
      </w:r>
    </w:p>
    <w:p w14:paraId="6428DEEB">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49" w:name="_Toc18886"/>
      <w:r>
        <w:rPr>
          <w:rFonts w:hint="eastAsia" w:ascii="Times New Roman" w:hAnsi="Times New Roman" w:eastAsia="仿宋" w:cs="Times New Roman"/>
          <w:snapToGrid/>
          <w:sz w:val="30"/>
          <w:szCs w:val="30"/>
          <w:highlight w:val="none"/>
          <w:lang w:eastAsia="zh-CN"/>
        </w:rPr>
        <w:t>应急响应流程</w:t>
      </w:r>
      <w:bookmarkEnd w:id="49"/>
    </w:p>
    <w:p w14:paraId="16A4C0E3">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发生火灾或化学品泄漏事故时，现场人员将现场情况马上向现场负责人报告，由现场负责人对现场情况进行判断，如果可以控制在现场范围内处置，则启动蓝色预警，实施车间级响应，组织现场人员进行处置。如果事故不能在现场范围内控制，有进一步扩大的可能，现场负责人立即向应急值班室汇报，应急值班室第一时间报告给应急总指挥。应急总指挥对事故信息和可控程度进行判断，事故影响可以控制在厂区内或公司对事故影响可控时，启动黄色预警，实施公司级响应，同时报告区域生态环境局；事故影响可能影响到厂区外，需要外部支援时启动红色预警，实施社会级响应，此时区域应急预案启动，公司应急组织机构由负责应急处置转变为服从指挥。应急响应流程见下图。</w:t>
      </w:r>
    </w:p>
    <w:p w14:paraId="5A1CE51B">
      <w:pPr>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pPr>
      <w:r>
        <w:drawing>
          <wp:inline distT="0" distB="0" distL="114300" distR="114300">
            <wp:extent cx="5343525" cy="5694680"/>
            <wp:effectExtent l="0" t="0" r="9525" b="1270"/>
            <wp:docPr id="10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图片 6"/>
                    <pic:cNvPicPr>
                      <a:picLocks noChangeAspect="1"/>
                    </pic:cNvPicPr>
                  </pic:nvPicPr>
                  <pic:blipFill>
                    <a:blip r:embed="rId22"/>
                    <a:stretch>
                      <a:fillRect/>
                    </a:stretch>
                  </pic:blipFill>
                  <pic:spPr>
                    <a:xfrm>
                      <a:off x="0" y="0"/>
                      <a:ext cx="5343525" cy="5694680"/>
                    </a:xfrm>
                    <a:prstGeom prst="rect">
                      <a:avLst/>
                    </a:prstGeom>
                    <a:noFill/>
                    <a:ln>
                      <a:noFill/>
                    </a:ln>
                  </pic:spPr>
                </pic:pic>
              </a:graphicData>
            </a:graphic>
          </wp:inline>
        </w:drawing>
      </w:r>
    </w:p>
    <w:p w14:paraId="687EBB87">
      <w:pPr>
        <w:keepNext w:val="0"/>
        <w:keepLines w:val="0"/>
        <w:pageBreakBefore w:val="0"/>
        <w:widowControl w:val="0"/>
        <w:kinsoku w:val="0"/>
        <w:wordWrap/>
        <w:overflowPunct/>
        <w:topLinePunct w:val="0"/>
        <w:autoSpaceDE w:val="0"/>
        <w:autoSpaceDN w:val="0"/>
        <w:bidi w:val="0"/>
        <w:adjustRightInd w:val="0"/>
        <w:snapToGrid w:val="0"/>
        <w:spacing w:line="240" w:lineRule="auto"/>
        <w:ind w:lef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图6.2-1 应急响应流程</w:t>
      </w:r>
    </w:p>
    <w:p w14:paraId="68EEDBC8">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50" w:name="_Toc9250"/>
      <w:r>
        <w:rPr>
          <w:rFonts w:hint="eastAsia" w:ascii="Times New Roman" w:hAnsi="Times New Roman" w:eastAsia="仿宋" w:cs="Times New Roman"/>
          <w:snapToGrid/>
          <w:sz w:val="30"/>
          <w:szCs w:val="30"/>
          <w:highlight w:val="none"/>
          <w:lang w:eastAsia="zh-CN"/>
        </w:rPr>
        <w:t>现场应急措施</w:t>
      </w:r>
      <w:bookmarkEnd w:id="50"/>
    </w:p>
    <w:p w14:paraId="77F5E8D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结合企业情况给出几种不同的事故情景下的现场应急处理方式，具体如下：</w:t>
      </w:r>
    </w:p>
    <w:p w14:paraId="119F1EF4">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51" w:name="_Toc132"/>
      <w:r>
        <w:rPr>
          <w:rFonts w:hint="eastAsia" w:ascii="Times New Roman" w:hAnsi="Times New Roman" w:eastAsia="仿宋" w:cs="Times New Roman"/>
          <w:sz w:val="30"/>
          <w:szCs w:val="30"/>
          <w:lang w:eastAsia="zh-CN"/>
        </w:rPr>
        <w:t>火灾事故现场应急处置</w:t>
      </w:r>
      <w:bookmarkEnd w:id="51"/>
    </w:p>
    <w:p w14:paraId="3FD324E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火灾事故现场应急处置与公司《生产安全事故专项应急预案》中“火灾事故专项应急预案”相衔接。</w:t>
      </w:r>
    </w:p>
    <w:p w14:paraId="2EE648F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预警方式：现场人员发现初期火险</w:t>
      </w:r>
    </w:p>
    <w:p w14:paraId="6D48482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现场工作人员立刻报告现场负责人，并立刻使用灭火器等消防物资进行应急灭火处置，启动环境应急</w:t>
      </w:r>
      <w:r>
        <w:rPr>
          <w:rFonts w:hint="eastAsia" w:ascii="Times New Roman" w:hAnsi="Times New Roman" w:eastAsia="仿宋" w:cs="Times New Roman"/>
          <w:color w:val="auto"/>
          <w:spacing w:val="0"/>
          <w:w w:val="100"/>
          <w:sz w:val="28"/>
          <w:szCs w:val="28"/>
          <w:lang w:val="en-US" w:eastAsia="zh-CN"/>
        </w:rPr>
        <w:t>车间级</w:t>
      </w:r>
      <w:r>
        <w:rPr>
          <w:rFonts w:hint="eastAsia" w:ascii="Times New Roman" w:hAnsi="Times New Roman" w:eastAsia="仿宋" w:cs="Times New Roman"/>
          <w:color w:val="auto"/>
          <w:spacing w:val="0"/>
          <w:w w:val="100"/>
          <w:sz w:val="28"/>
          <w:szCs w:val="28"/>
          <w:lang w:val="en-US" w:eastAsia="en-US"/>
        </w:rPr>
        <w:t>响应，现场其他人员监控火情发展，如处置成功，及时收集废消防干粉等灭火废物，作为危险废物暂存，交有资质机构处置。</w:t>
      </w:r>
      <w:r>
        <w:rPr>
          <w:rFonts w:hint="eastAsia" w:ascii="Times New Roman" w:hAnsi="Times New Roman" w:eastAsia="仿宋" w:cs="Times New Roman"/>
          <w:color w:val="auto"/>
          <w:spacing w:val="0"/>
          <w:w w:val="100"/>
          <w:sz w:val="28"/>
          <w:szCs w:val="28"/>
          <w:lang w:val="en-US" w:eastAsia="zh-CN"/>
        </w:rPr>
        <w:t>车间级</w:t>
      </w:r>
      <w:r>
        <w:rPr>
          <w:rFonts w:hint="eastAsia" w:ascii="Times New Roman" w:hAnsi="Times New Roman" w:eastAsia="仿宋" w:cs="Times New Roman"/>
          <w:color w:val="auto"/>
          <w:spacing w:val="0"/>
          <w:w w:val="100"/>
          <w:sz w:val="28"/>
          <w:szCs w:val="28"/>
          <w:lang w:val="en-US" w:eastAsia="en-US"/>
        </w:rPr>
        <w:t>响应结束。</w:t>
      </w:r>
    </w:p>
    <w:p w14:paraId="4F76DD0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若火灾蔓延，须启动消防水进行先期处置，现场人员应立即上报厂区应急指挥部，启动黄色预警，由总指挥启动环境应急</w:t>
      </w:r>
      <w:r>
        <w:rPr>
          <w:rFonts w:hint="eastAsia" w:ascii="Times New Roman" w:hAnsi="Times New Roman" w:eastAsia="仿宋" w:cs="Times New Roman"/>
          <w:color w:val="auto"/>
          <w:spacing w:val="0"/>
          <w:w w:val="100"/>
          <w:sz w:val="28"/>
          <w:szCs w:val="28"/>
          <w:lang w:val="en-US" w:eastAsia="zh-CN"/>
        </w:rPr>
        <w:t>公司级</w:t>
      </w:r>
      <w:r>
        <w:rPr>
          <w:rFonts w:hint="eastAsia" w:ascii="Times New Roman" w:hAnsi="Times New Roman" w:eastAsia="仿宋" w:cs="Times New Roman"/>
          <w:color w:val="auto"/>
          <w:spacing w:val="0"/>
          <w:w w:val="100"/>
          <w:sz w:val="28"/>
          <w:szCs w:val="28"/>
          <w:lang w:val="en-US" w:eastAsia="en-US"/>
        </w:rPr>
        <w:t>响应，通讯联络组通知各应急岗位到位。</w:t>
      </w:r>
      <w:r>
        <w:rPr>
          <w:rFonts w:hint="eastAsia" w:ascii="Times New Roman" w:hAnsi="Times New Roman" w:eastAsia="仿宋" w:cs="Times New Roman"/>
          <w:color w:val="auto"/>
          <w:spacing w:val="0"/>
          <w:w w:val="100"/>
          <w:sz w:val="28"/>
          <w:szCs w:val="28"/>
          <w:lang w:val="en-US" w:eastAsia="zh-CN"/>
        </w:rPr>
        <w:t>警戒疏散</w:t>
      </w:r>
      <w:r>
        <w:rPr>
          <w:rFonts w:hint="eastAsia" w:ascii="Times New Roman" w:hAnsi="Times New Roman" w:eastAsia="仿宋" w:cs="Times New Roman"/>
          <w:color w:val="auto"/>
          <w:spacing w:val="0"/>
          <w:w w:val="100"/>
          <w:sz w:val="28"/>
          <w:szCs w:val="28"/>
          <w:lang w:val="en-US" w:eastAsia="en-US"/>
        </w:rPr>
        <w:t>组立即疏散厂内无关人员至安全地带，</w:t>
      </w:r>
      <w:r>
        <w:rPr>
          <w:rFonts w:hint="eastAsia" w:ascii="Times New Roman" w:hAnsi="Times New Roman" w:eastAsia="仿宋" w:cs="Times New Roman"/>
          <w:color w:val="auto"/>
          <w:spacing w:val="0"/>
          <w:w w:val="100"/>
          <w:sz w:val="28"/>
          <w:szCs w:val="28"/>
          <w:lang w:val="en-US" w:eastAsia="zh-CN"/>
        </w:rPr>
        <w:t>物资保障</w:t>
      </w:r>
      <w:r>
        <w:rPr>
          <w:rFonts w:hint="eastAsia" w:ascii="Times New Roman" w:hAnsi="Times New Roman" w:eastAsia="仿宋" w:cs="Times New Roman"/>
          <w:color w:val="auto"/>
          <w:spacing w:val="0"/>
          <w:w w:val="100"/>
          <w:sz w:val="28"/>
          <w:szCs w:val="28"/>
          <w:lang w:val="en-US" w:eastAsia="en-US"/>
        </w:rPr>
        <w:t>组立即准备应急物资装备，</w:t>
      </w:r>
      <w:r>
        <w:rPr>
          <w:rFonts w:hint="eastAsia" w:ascii="Times New Roman" w:hAnsi="Times New Roman" w:eastAsia="仿宋" w:cs="Times New Roman"/>
          <w:color w:val="auto"/>
          <w:spacing w:val="0"/>
          <w:w w:val="100"/>
          <w:sz w:val="28"/>
          <w:szCs w:val="28"/>
          <w:lang w:val="en-US" w:eastAsia="zh-CN"/>
        </w:rPr>
        <w:t>抢险救援</w:t>
      </w:r>
      <w:r>
        <w:rPr>
          <w:rFonts w:hint="eastAsia" w:ascii="Times New Roman" w:hAnsi="Times New Roman" w:eastAsia="仿宋" w:cs="Times New Roman"/>
          <w:color w:val="auto"/>
          <w:spacing w:val="0"/>
          <w:w w:val="100"/>
          <w:sz w:val="28"/>
          <w:szCs w:val="28"/>
          <w:lang w:val="en-US" w:eastAsia="en-US"/>
        </w:rPr>
        <w:t>组启动消防栓进行灭火</w:t>
      </w:r>
      <w:r>
        <w:rPr>
          <w:rFonts w:hint="eastAsia" w:ascii="Times New Roman" w:hAnsi="Times New Roman" w:eastAsia="仿宋" w:cs="Times New Roman"/>
          <w:color w:val="auto"/>
          <w:spacing w:val="0"/>
          <w:w w:val="100"/>
          <w:sz w:val="28"/>
          <w:szCs w:val="28"/>
          <w:lang w:val="en-US" w:eastAsia="zh-CN"/>
        </w:rPr>
        <w:t>，并</w:t>
      </w:r>
      <w:r>
        <w:rPr>
          <w:rFonts w:hint="eastAsia" w:ascii="Times New Roman" w:hAnsi="Times New Roman" w:eastAsia="仿宋" w:cs="Times New Roman"/>
          <w:color w:val="auto"/>
          <w:spacing w:val="0"/>
          <w:w w:val="100"/>
          <w:sz w:val="28"/>
          <w:szCs w:val="28"/>
          <w:lang w:val="en-US" w:eastAsia="en-US"/>
        </w:rPr>
        <w:t>启用消防沙袋紧急封堵雨水排放口，防止厂区消防废水通过雨水排放口排出。如自行灭火处置结束，</w:t>
      </w:r>
      <w:r>
        <w:rPr>
          <w:rFonts w:hint="eastAsia" w:ascii="Times New Roman" w:hAnsi="Times New Roman" w:eastAsia="仿宋" w:cs="Times New Roman"/>
          <w:color w:val="auto"/>
          <w:spacing w:val="0"/>
          <w:w w:val="100"/>
          <w:sz w:val="28"/>
          <w:szCs w:val="28"/>
          <w:lang w:val="en-US" w:eastAsia="zh-CN"/>
        </w:rPr>
        <w:t>公司</w:t>
      </w:r>
      <w:r>
        <w:rPr>
          <w:rFonts w:hint="eastAsia" w:ascii="Times New Roman" w:hAnsi="Times New Roman" w:eastAsia="仿宋" w:cs="Times New Roman"/>
          <w:color w:val="auto"/>
          <w:spacing w:val="0"/>
          <w:w w:val="100"/>
          <w:sz w:val="28"/>
          <w:szCs w:val="28"/>
          <w:lang w:val="en-US" w:eastAsia="en-US"/>
        </w:rPr>
        <w:t>级响应结束。对现场进行清理，对消防废水进行检测，如满足黄色预警污水处理厂的处理能力，则用应急泵抽转至污水总排口排放至下游污水处理厂处理，如不满足，委托有资质单位处理。</w:t>
      </w:r>
    </w:p>
    <w:p w14:paraId="613A35B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若火势进一步蔓延，若火灾事故超出企业自身的应对能力，或者火灾事故的影响超出厂区，应急值班室根据应急总指挥要求报火警119，同时启动环境应急</w:t>
      </w:r>
      <w:r>
        <w:rPr>
          <w:rFonts w:hint="eastAsia" w:ascii="Times New Roman" w:hAnsi="Times New Roman" w:eastAsia="仿宋" w:cs="Times New Roman"/>
          <w:color w:val="auto"/>
          <w:spacing w:val="0"/>
          <w:w w:val="100"/>
          <w:sz w:val="28"/>
          <w:szCs w:val="28"/>
          <w:lang w:val="en-US" w:eastAsia="zh-CN"/>
        </w:rPr>
        <w:t>社会级</w:t>
      </w:r>
      <w:r>
        <w:rPr>
          <w:rFonts w:hint="eastAsia" w:ascii="Times New Roman" w:hAnsi="Times New Roman" w:eastAsia="仿宋" w:cs="Times New Roman"/>
          <w:color w:val="auto"/>
          <w:spacing w:val="0"/>
          <w:w w:val="100"/>
          <w:sz w:val="28"/>
          <w:szCs w:val="28"/>
          <w:lang w:val="en-US" w:eastAsia="en-US"/>
        </w:rPr>
        <w:t>响应。警报拉响，全部人员撤离。通讯联络组按信息报告格式及内容上</w:t>
      </w:r>
      <w:r>
        <w:rPr>
          <w:rFonts w:hint="eastAsia" w:ascii="Times New Roman" w:hAnsi="Times New Roman" w:eastAsia="仿宋" w:cs="Times New Roman"/>
          <w:color w:val="auto"/>
          <w:spacing w:val="0"/>
          <w:w w:val="100"/>
          <w:sz w:val="28"/>
          <w:szCs w:val="28"/>
          <w:highlight w:val="none"/>
          <w:lang w:val="en-US" w:eastAsia="en-US"/>
        </w:rPr>
        <w:t>报天津经济技术开发区应急管理局、天津经济技术开发区生态环境局等，并通知周边企业人员疏散，应急疏散组做好外部救援力量接引准备。待应急局应急力量到达现场后，</w:t>
      </w:r>
      <w:r>
        <w:rPr>
          <w:rFonts w:hint="eastAsia" w:ascii="Times New Roman" w:hAnsi="Times New Roman" w:eastAsia="仿宋" w:cs="Times New Roman"/>
          <w:color w:val="auto"/>
          <w:spacing w:val="0"/>
          <w:w w:val="100"/>
          <w:sz w:val="28"/>
          <w:szCs w:val="28"/>
          <w:lang w:val="en-US" w:eastAsia="en-US"/>
        </w:rPr>
        <w:t>将安全应急指挥权移交消防部门，公司应急指挥部门全力配合救援工作，天津经济技术开发区应急管理局、天津经济技术开发区生态环境局应急力量到达现场后，移交环境应急指挥权，服从其应急安排，总指挥负责与其衔接，带领公司应急力量配合其进行厂外污染的应急监测、危害评估及环境恢复。</w:t>
      </w:r>
    </w:p>
    <w:p w14:paraId="2CADA3F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应急监测建议方案：根据火情大小，建议监测厂界下风向大气中CO等有害物质；涉及消防废水外排的建议监测消防废水中pH、COD、石油类等因子，涉及已经进入水环境风险受体的情形，建议监测厂区对应雨总排口、雨水入河口及相关河流断面或水体pH、COD、石油类等因子，应急监测仪器、监测频次要求按照环境主管部门要求执行。</w:t>
      </w:r>
    </w:p>
    <w:p w14:paraId="165F39F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应急监测点位设置原则：采样断面（点）的设置一般以突发环境事件发生地及可能受影响的环境区域为主，同时应注重人群和生活环境、事件发生地周围重要生态环境保护目标及环境敏感点，重点关注对饮用水水源地、人群活动区域的空气、农田土壤、自然保护区、风景名胜区及其他需要特殊保护的区域的影响，合理设置监测断面（点），判断污染团（带）位置、反映污染变化趋势、了解应急处置效果。应根据突发环境事件应急处置情况动态及时更新调整布设点位。</w:t>
      </w:r>
    </w:p>
    <w:p w14:paraId="5D1B23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洗消及环境恢复：应急结束后，抢险救援组人员根据厂区所在厂区及外环境土壤中涉及的有害物质性质，按区生态环境主管部门的有关要求，进行冲洗清理，冲洗废水、污染土壤收集做危废处理。对事故废水池内的消防废水进行检测，如满足天津立中车轮有限公司污水处理厂的处理能力，则用应急泵抽转至污水总排口排放至下游污水处理厂处理，如不满足，委托有资质单位处理。涉及水污染的，配合政府做好环境损害的评估及恢复或可能的赔偿工作。</w:t>
      </w:r>
    </w:p>
    <w:p w14:paraId="34A10C7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衔接：（1）发生火灾事故时立即衔接公司安全生产事故应急预案，</w:t>
      </w:r>
      <w:bookmarkStart w:id="52" w:name="bookmark63"/>
      <w:bookmarkEnd w:id="52"/>
      <w:r>
        <w:rPr>
          <w:rFonts w:hint="eastAsia" w:ascii="Times New Roman" w:hAnsi="Times New Roman" w:eastAsia="仿宋" w:cs="Times New Roman"/>
          <w:color w:val="auto"/>
          <w:spacing w:val="0"/>
          <w:w w:val="100"/>
          <w:sz w:val="28"/>
          <w:szCs w:val="28"/>
          <w:lang w:val="en-US" w:eastAsia="en-US"/>
        </w:rPr>
        <w:t>并按火灾次生环境事故应急处置预案进行环境应急；（2）应急监测组协助生态环境主管部门进行应急监测，提供监测因子建议，委托第三方有资质监测单位监测。</w:t>
      </w:r>
    </w:p>
    <w:p w14:paraId="2BE2BB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火灾事故应急处置卡如下：</w:t>
      </w:r>
    </w:p>
    <w:p w14:paraId="0A941F7A">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表6.3-1 一般性火灾事故应应急处置卡</w:t>
      </w:r>
    </w:p>
    <w:tbl>
      <w:tblPr>
        <w:tblStyle w:val="18"/>
        <w:tblW w:w="83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945"/>
        <w:gridCol w:w="4404"/>
        <w:gridCol w:w="1369"/>
        <w:gridCol w:w="1641"/>
      </w:tblGrid>
      <w:tr w14:paraId="639A65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534" w:hRule="atLeast"/>
          <w:jc w:val="center"/>
        </w:trPr>
        <w:tc>
          <w:tcPr>
            <w:tcW w:w="945" w:type="dxa"/>
            <w:shd w:val="clear" w:color="auto" w:fill="auto"/>
            <w:vAlign w:val="center"/>
          </w:tcPr>
          <w:p w14:paraId="4441923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突发环</w:t>
            </w:r>
            <w:r>
              <w:rPr>
                <w:rFonts w:hint="default" w:ascii="Times New Roman" w:hAnsi="Times New Roman" w:eastAsia="仿宋" w:cs="Times New Roman"/>
                <w:spacing w:val="1"/>
                <w:sz w:val="24"/>
                <w:szCs w:val="24"/>
                <w:highlight w:val="none"/>
              </w:rPr>
              <w:t>境事件</w:t>
            </w:r>
          </w:p>
        </w:tc>
        <w:tc>
          <w:tcPr>
            <w:tcW w:w="4404" w:type="dxa"/>
            <w:shd w:val="clear" w:color="auto" w:fill="auto"/>
            <w:vAlign w:val="center"/>
          </w:tcPr>
          <w:p w14:paraId="4319662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处置措施</w:t>
            </w:r>
          </w:p>
        </w:tc>
        <w:tc>
          <w:tcPr>
            <w:tcW w:w="1369" w:type="dxa"/>
            <w:shd w:val="clear" w:color="auto" w:fill="auto"/>
            <w:vAlign w:val="center"/>
          </w:tcPr>
          <w:p w14:paraId="3110D6F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应急物资与</w:t>
            </w:r>
          </w:p>
          <w:p w14:paraId="1822E06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z w:val="24"/>
                <w:szCs w:val="24"/>
                <w:highlight w:val="none"/>
              </w:rPr>
              <w:t>装置</w:t>
            </w:r>
          </w:p>
        </w:tc>
        <w:tc>
          <w:tcPr>
            <w:tcW w:w="1641" w:type="dxa"/>
            <w:shd w:val="clear" w:color="auto" w:fill="auto"/>
            <w:vAlign w:val="center"/>
          </w:tcPr>
          <w:p w14:paraId="6B0DAEE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2"/>
                <w:sz w:val="24"/>
                <w:szCs w:val="24"/>
                <w:highlight w:val="none"/>
              </w:rPr>
              <w:t>执行岗位</w:t>
            </w:r>
          </w:p>
        </w:tc>
      </w:tr>
      <w:tr w14:paraId="38E2A4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4175" w:hRule="atLeast"/>
          <w:jc w:val="center"/>
        </w:trPr>
        <w:tc>
          <w:tcPr>
            <w:tcW w:w="945" w:type="dxa"/>
            <w:shd w:val="clear" w:color="auto" w:fill="auto"/>
            <w:vAlign w:val="center"/>
          </w:tcPr>
          <w:p w14:paraId="15F3AB6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5"/>
                <w:sz w:val="24"/>
                <w:szCs w:val="24"/>
                <w:highlight w:val="none"/>
              </w:rPr>
              <w:t>一般性火灾</w:t>
            </w:r>
          </w:p>
        </w:tc>
        <w:tc>
          <w:tcPr>
            <w:tcW w:w="4404" w:type="dxa"/>
            <w:shd w:val="clear" w:color="auto" w:fill="auto"/>
            <w:vAlign w:val="center"/>
          </w:tcPr>
          <w:p w14:paraId="4D6A9F1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pacing w:val="-1"/>
                <w:sz w:val="24"/>
                <w:szCs w:val="24"/>
                <w:highlight w:val="none"/>
              </w:rPr>
            </w:pPr>
            <w:r>
              <w:rPr>
                <w:rFonts w:hint="default" w:ascii="Times New Roman" w:hAnsi="Times New Roman" w:eastAsia="仿宋" w:cs="Times New Roman"/>
                <w:spacing w:val="-1"/>
                <w:sz w:val="24"/>
                <w:szCs w:val="24"/>
                <w:highlight w:val="none"/>
              </w:rPr>
              <w:t>第一发现人发现初期火险。</w:t>
            </w:r>
          </w:p>
          <w:p w14:paraId="3B2986B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疏散无关人员，现场人员使用灭火器进行应急灭火处置迅速进行初期火灾的灭火控</w:t>
            </w:r>
          </w:p>
          <w:p w14:paraId="5CC45B3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1"/>
                <w:sz w:val="24"/>
                <w:szCs w:val="24"/>
                <w:highlight w:val="none"/>
              </w:rPr>
              <w:t>制。</w:t>
            </w:r>
          </w:p>
          <w:p w14:paraId="07F56F6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通讯联络组通知各应急岗位到位。</w:t>
            </w:r>
          </w:p>
          <w:p w14:paraId="260429E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z w:val="24"/>
                <w:szCs w:val="24"/>
                <w:highlight w:val="none"/>
              </w:rPr>
            </w:pPr>
            <w:r>
              <w:rPr>
                <w:rFonts w:hint="eastAsia" w:ascii="Times New Roman" w:hAnsi="Times New Roman" w:eastAsia="仿宋" w:cs="Times New Roman"/>
                <w:spacing w:val="1"/>
                <w:sz w:val="24"/>
                <w:szCs w:val="24"/>
                <w:highlight w:val="none"/>
                <w:lang w:val="en-US" w:eastAsia="zh-CN"/>
              </w:rPr>
              <w:t>警戒疏散</w:t>
            </w:r>
            <w:r>
              <w:rPr>
                <w:rFonts w:hint="default" w:ascii="Times New Roman" w:hAnsi="Times New Roman" w:eastAsia="仿宋" w:cs="Times New Roman"/>
                <w:spacing w:val="1"/>
                <w:sz w:val="24"/>
                <w:szCs w:val="24"/>
                <w:highlight w:val="none"/>
              </w:rPr>
              <w:t>组疏散厂内无关人员至安全地</w:t>
            </w:r>
            <w:r>
              <w:rPr>
                <w:rFonts w:hint="default" w:ascii="Times New Roman" w:hAnsi="Times New Roman" w:eastAsia="仿宋" w:cs="Times New Roman"/>
                <w:spacing w:val="-3"/>
                <w:sz w:val="24"/>
                <w:szCs w:val="24"/>
                <w:highlight w:val="none"/>
              </w:rPr>
              <w:t>带，后勤保障组立即准备应急物资装备，</w:t>
            </w:r>
            <w:r>
              <w:rPr>
                <w:rFonts w:hint="eastAsia" w:ascii="Times New Roman" w:hAnsi="Times New Roman" w:eastAsia="仿宋" w:cs="Times New Roman"/>
                <w:sz w:val="24"/>
                <w:szCs w:val="24"/>
                <w:highlight w:val="none"/>
                <w:lang w:val="en-US" w:eastAsia="zh-CN"/>
              </w:rPr>
              <w:t>抢险救援组</w:t>
            </w:r>
            <w:r>
              <w:rPr>
                <w:rFonts w:hint="default" w:ascii="Times New Roman" w:hAnsi="Times New Roman" w:eastAsia="仿宋" w:cs="Times New Roman"/>
                <w:sz w:val="24"/>
                <w:szCs w:val="24"/>
                <w:highlight w:val="none"/>
              </w:rPr>
              <w:t>用沙袋等搭建临时围堰，封堵</w:t>
            </w:r>
            <w:r>
              <w:rPr>
                <w:rFonts w:hint="default" w:ascii="Times New Roman" w:hAnsi="Times New Roman" w:eastAsia="仿宋" w:cs="Times New Roman"/>
                <w:spacing w:val="-5"/>
                <w:sz w:val="24"/>
                <w:szCs w:val="24"/>
                <w:highlight w:val="none"/>
              </w:rPr>
              <w:t>雨水排放口。</w:t>
            </w:r>
          </w:p>
          <w:p w14:paraId="52DDC1C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控制成功及时收集废消防泡沫、干粉、消</w:t>
            </w:r>
            <w:r>
              <w:rPr>
                <w:rFonts w:hint="default" w:ascii="Times New Roman" w:hAnsi="Times New Roman" w:eastAsia="仿宋" w:cs="Times New Roman"/>
                <w:spacing w:val="-2"/>
                <w:sz w:val="24"/>
                <w:szCs w:val="24"/>
                <w:highlight w:val="none"/>
              </w:rPr>
              <w:t>防沙等灭火废物，作为危险废物暂存，交</w:t>
            </w:r>
            <w:r>
              <w:rPr>
                <w:rFonts w:hint="default" w:ascii="Times New Roman" w:hAnsi="Times New Roman" w:eastAsia="仿宋" w:cs="Times New Roman"/>
                <w:spacing w:val="-1"/>
                <w:sz w:val="24"/>
                <w:szCs w:val="24"/>
                <w:highlight w:val="none"/>
              </w:rPr>
              <w:t>有资质机构处置；消防废水如不满足处理要求，则委托有资质单位处理</w:t>
            </w:r>
            <w:r>
              <w:rPr>
                <w:rFonts w:hint="default" w:ascii="Times New Roman" w:hAnsi="Times New Roman" w:eastAsia="仿宋" w:cs="Times New Roman"/>
                <w:spacing w:val="-2"/>
                <w:sz w:val="24"/>
                <w:szCs w:val="24"/>
                <w:highlight w:val="none"/>
              </w:rPr>
              <w:t>控制成功</w:t>
            </w:r>
            <w:r>
              <w:rPr>
                <w:rFonts w:hint="eastAsia" w:ascii="Times New Roman" w:hAnsi="Times New Roman" w:eastAsia="仿宋" w:cs="Times New Roman"/>
                <w:spacing w:val="-2"/>
                <w:sz w:val="24"/>
                <w:szCs w:val="24"/>
                <w:highlight w:val="none"/>
                <w:lang w:val="en-US" w:eastAsia="zh-CN"/>
              </w:rPr>
              <w:t>公司级</w:t>
            </w:r>
            <w:r>
              <w:rPr>
                <w:rFonts w:hint="default" w:ascii="Times New Roman" w:hAnsi="Times New Roman" w:eastAsia="仿宋" w:cs="Times New Roman"/>
                <w:spacing w:val="-2"/>
                <w:sz w:val="24"/>
                <w:szCs w:val="24"/>
                <w:highlight w:val="none"/>
              </w:rPr>
              <w:t>响应结束。</w:t>
            </w:r>
          </w:p>
        </w:tc>
        <w:tc>
          <w:tcPr>
            <w:tcW w:w="1369" w:type="dxa"/>
            <w:shd w:val="clear" w:color="auto" w:fill="auto"/>
            <w:vAlign w:val="center"/>
          </w:tcPr>
          <w:p w14:paraId="3EDB522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消防带、</w:t>
            </w:r>
            <w:r>
              <w:rPr>
                <w:rFonts w:hint="default" w:ascii="Times New Roman" w:hAnsi="Times New Roman" w:eastAsia="仿宋" w:cs="Times New Roman"/>
                <w:spacing w:val="-3"/>
                <w:sz w:val="24"/>
                <w:szCs w:val="24"/>
                <w:highlight w:val="none"/>
              </w:rPr>
              <w:t>灭火器、</w:t>
            </w:r>
            <w:r>
              <w:rPr>
                <w:rFonts w:hint="default" w:ascii="Times New Roman" w:hAnsi="Times New Roman" w:eastAsia="仿宋" w:cs="Times New Roman"/>
                <w:spacing w:val="-9"/>
                <w:sz w:val="24"/>
                <w:szCs w:val="24"/>
                <w:highlight w:val="none"/>
              </w:rPr>
              <w:t>收集桶、</w:t>
            </w:r>
            <w:r>
              <w:rPr>
                <w:rFonts w:hint="default" w:ascii="Times New Roman" w:hAnsi="Times New Roman" w:eastAsia="仿宋" w:cs="Times New Roman"/>
                <w:spacing w:val="-7"/>
                <w:sz w:val="24"/>
                <w:szCs w:val="24"/>
                <w:highlight w:val="none"/>
              </w:rPr>
              <w:t>沙袋、防</w:t>
            </w:r>
            <w:r>
              <w:rPr>
                <w:rFonts w:hint="default" w:ascii="Times New Roman" w:hAnsi="Times New Roman" w:eastAsia="仿宋" w:cs="Times New Roman"/>
                <w:spacing w:val="34"/>
                <w:sz w:val="24"/>
                <w:szCs w:val="24"/>
                <w:highlight w:val="none"/>
              </w:rPr>
              <w:t>毒面具</w:t>
            </w:r>
          </w:p>
        </w:tc>
        <w:tc>
          <w:tcPr>
            <w:tcW w:w="1641" w:type="dxa"/>
            <w:shd w:val="clear" w:color="auto" w:fill="auto"/>
            <w:vAlign w:val="center"/>
          </w:tcPr>
          <w:p w14:paraId="6217875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z w:val="24"/>
                <w:szCs w:val="24"/>
                <w:highlight w:val="none"/>
              </w:rPr>
            </w:pPr>
            <w:r>
              <w:rPr>
                <w:rFonts w:hint="default" w:ascii="Times New Roman" w:hAnsi="Times New Roman" w:eastAsia="仿宋" w:cs="Times New Roman"/>
                <w:spacing w:val="-1"/>
                <w:sz w:val="24"/>
                <w:szCs w:val="24"/>
                <w:highlight w:val="none"/>
              </w:rPr>
              <w:t>应急指挥部、</w:t>
            </w:r>
            <w:r>
              <w:rPr>
                <w:rFonts w:hint="eastAsia" w:ascii="Times New Roman" w:hAnsi="Times New Roman" w:eastAsia="仿宋" w:cs="Times New Roman"/>
                <w:spacing w:val="-1"/>
                <w:sz w:val="24"/>
                <w:szCs w:val="24"/>
                <w:highlight w:val="none"/>
                <w:lang w:val="en-US" w:eastAsia="zh-CN"/>
              </w:rPr>
              <w:t>抢险救援</w:t>
            </w:r>
            <w:r>
              <w:rPr>
                <w:rFonts w:hint="default" w:ascii="Times New Roman" w:hAnsi="Times New Roman" w:eastAsia="仿宋" w:cs="Times New Roman"/>
                <w:spacing w:val="-1"/>
                <w:sz w:val="24"/>
                <w:szCs w:val="24"/>
                <w:highlight w:val="none"/>
              </w:rPr>
              <w:t>组、</w:t>
            </w:r>
            <w:r>
              <w:rPr>
                <w:rFonts w:hint="default" w:ascii="Times New Roman" w:hAnsi="Times New Roman" w:eastAsia="仿宋" w:cs="Times New Roman"/>
                <w:spacing w:val="-2"/>
                <w:sz w:val="24"/>
                <w:szCs w:val="24"/>
                <w:highlight w:val="none"/>
              </w:rPr>
              <w:t>通讯联络组、</w:t>
            </w:r>
            <w:r>
              <w:rPr>
                <w:rFonts w:hint="eastAsia" w:ascii="Times New Roman" w:hAnsi="Times New Roman" w:eastAsia="仿宋" w:cs="Times New Roman"/>
                <w:spacing w:val="-7"/>
                <w:sz w:val="24"/>
                <w:szCs w:val="24"/>
                <w:highlight w:val="none"/>
                <w:lang w:val="en-US" w:eastAsia="zh-CN"/>
              </w:rPr>
              <w:t>警戒疏散</w:t>
            </w:r>
            <w:r>
              <w:rPr>
                <w:rFonts w:hint="default" w:ascii="Times New Roman" w:hAnsi="Times New Roman" w:eastAsia="仿宋" w:cs="Times New Roman"/>
                <w:spacing w:val="-7"/>
                <w:sz w:val="24"/>
                <w:szCs w:val="24"/>
                <w:highlight w:val="none"/>
              </w:rPr>
              <w:t>组、</w:t>
            </w:r>
            <w:r>
              <w:rPr>
                <w:rFonts w:hint="eastAsia" w:ascii="Times New Roman" w:hAnsi="Times New Roman" w:eastAsia="仿宋" w:cs="Times New Roman"/>
                <w:spacing w:val="-2"/>
                <w:sz w:val="24"/>
                <w:szCs w:val="24"/>
                <w:highlight w:val="none"/>
                <w:lang w:val="en-US" w:eastAsia="zh-CN"/>
              </w:rPr>
              <w:t>物资保障</w:t>
            </w:r>
            <w:r>
              <w:rPr>
                <w:rFonts w:hint="default" w:ascii="Times New Roman" w:hAnsi="Times New Roman" w:eastAsia="仿宋" w:cs="Times New Roman"/>
                <w:spacing w:val="-2"/>
                <w:sz w:val="24"/>
                <w:szCs w:val="24"/>
                <w:highlight w:val="none"/>
              </w:rPr>
              <w:t>组</w:t>
            </w:r>
          </w:p>
        </w:tc>
      </w:tr>
    </w:tbl>
    <w:p w14:paraId="60B79AD8">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表6.3-2 大型火灾事故应应急处置卡</w:t>
      </w:r>
    </w:p>
    <w:tbl>
      <w:tblPr>
        <w:tblStyle w:val="18"/>
        <w:tblW w:w="83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top w:w="0" w:type="dxa"/>
          <w:left w:w="0" w:type="dxa"/>
          <w:bottom w:w="0" w:type="dxa"/>
          <w:right w:w="0" w:type="dxa"/>
        </w:tblCellMar>
      </w:tblPr>
      <w:tblGrid>
        <w:gridCol w:w="959"/>
        <w:gridCol w:w="4252"/>
        <w:gridCol w:w="1509"/>
        <w:gridCol w:w="1638"/>
      </w:tblGrid>
      <w:tr w14:paraId="2C62E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800" w:hRule="atLeast"/>
          <w:jc w:val="center"/>
        </w:trPr>
        <w:tc>
          <w:tcPr>
            <w:tcW w:w="959" w:type="dxa"/>
            <w:shd w:val="clear" w:color="auto" w:fill="auto"/>
            <w:vAlign w:val="center"/>
          </w:tcPr>
          <w:p w14:paraId="03CE9EF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突发环境事件</w:t>
            </w:r>
          </w:p>
        </w:tc>
        <w:tc>
          <w:tcPr>
            <w:tcW w:w="4252" w:type="dxa"/>
            <w:shd w:val="clear" w:color="auto" w:fill="auto"/>
            <w:vAlign w:val="center"/>
          </w:tcPr>
          <w:p w14:paraId="79AF7D8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处置措施</w:t>
            </w:r>
          </w:p>
        </w:tc>
        <w:tc>
          <w:tcPr>
            <w:tcW w:w="1509" w:type="dxa"/>
            <w:shd w:val="clear" w:color="auto" w:fill="auto"/>
            <w:vAlign w:val="center"/>
          </w:tcPr>
          <w:p w14:paraId="621B25B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应急物资与装置</w:t>
            </w:r>
          </w:p>
        </w:tc>
        <w:tc>
          <w:tcPr>
            <w:tcW w:w="1638" w:type="dxa"/>
            <w:shd w:val="clear" w:color="auto" w:fill="auto"/>
            <w:vAlign w:val="center"/>
          </w:tcPr>
          <w:p w14:paraId="02CFED7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执行岗位</w:t>
            </w:r>
          </w:p>
        </w:tc>
      </w:tr>
      <w:tr w14:paraId="7867B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0" w:type="dxa"/>
            <w:bottom w:w="0" w:type="dxa"/>
            <w:right w:w="0" w:type="dxa"/>
          </w:tblCellMar>
        </w:tblPrEx>
        <w:trPr>
          <w:trHeight w:val="3363" w:hRule="atLeast"/>
          <w:jc w:val="center"/>
        </w:trPr>
        <w:tc>
          <w:tcPr>
            <w:tcW w:w="959" w:type="dxa"/>
            <w:shd w:val="clear" w:color="auto" w:fill="auto"/>
            <w:vAlign w:val="center"/>
          </w:tcPr>
          <w:p w14:paraId="6D64685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大型火灾事故</w:t>
            </w:r>
          </w:p>
        </w:tc>
        <w:tc>
          <w:tcPr>
            <w:tcW w:w="4252" w:type="dxa"/>
            <w:shd w:val="clear" w:color="auto" w:fill="auto"/>
            <w:vAlign w:val="center"/>
          </w:tcPr>
          <w:p w14:paraId="5005601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1.应急总指挥拨打</w:t>
            </w:r>
            <w:r>
              <w:rPr>
                <w:rFonts w:hint="eastAsia" w:ascii="Times New Roman" w:hAnsi="Times New Roman" w:eastAsia="仿宋" w:cs="Times New Roman"/>
                <w:spacing w:val="-5"/>
                <w:sz w:val="24"/>
                <w:szCs w:val="24"/>
                <w:highlight w:val="none"/>
                <w:lang w:eastAsia="zh-CN"/>
              </w:rPr>
              <w:t>“</w:t>
            </w:r>
            <w:r>
              <w:rPr>
                <w:rFonts w:hint="default" w:ascii="Times New Roman" w:hAnsi="Times New Roman" w:eastAsia="仿宋" w:cs="Times New Roman"/>
                <w:spacing w:val="-5"/>
                <w:sz w:val="24"/>
                <w:szCs w:val="24"/>
                <w:highlight w:val="none"/>
              </w:rPr>
              <w:t>119</w:t>
            </w:r>
            <w:r>
              <w:rPr>
                <w:rFonts w:hint="eastAsia" w:ascii="Times New Roman" w:hAnsi="Times New Roman" w:eastAsia="仿宋" w:cs="Times New Roman"/>
                <w:spacing w:val="-5"/>
                <w:sz w:val="24"/>
                <w:szCs w:val="24"/>
                <w:highlight w:val="none"/>
                <w:lang w:eastAsia="zh-CN"/>
              </w:rPr>
              <w:t>”</w:t>
            </w:r>
            <w:r>
              <w:rPr>
                <w:rFonts w:hint="default" w:ascii="Times New Roman" w:hAnsi="Times New Roman" w:eastAsia="仿宋" w:cs="Times New Roman"/>
                <w:spacing w:val="-5"/>
                <w:sz w:val="24"/>
                <w:szCs w:val="24"/>
                <w:highlight w:val="none"/>
              </w:rPr>
              <w:t>报警；</w:t>
            </w:r>
          </w:p>
          <w:p w14:paraId="0243A76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2.按照应急疏散图指示前往安全汇合点；</w:t>
            </w:r>
          </w:p>
          <w:p w14:paraId="5D2A57B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3.通讯联络组按信息报告格式及内容上报天津经济技术开发区应急管理局、天津经济技术开发区生态环境局，</w:t>
            </w:r>
            <w:r>
              <w:rPr>
                <w:rFonts w:hint="eastAsia" w:ascii="Times New Roman" w:hAnsi="Times New Roman" w:eastAsia="仿宋" w:cs="Times New Roman"/>
                <w:spacing w:val="-5"/>
                <w:sz w:val="24"/>
                <w:szCs w:val="24"/>
                <w:highlight w:val="none"/>
                <w:lang w:val="en-US" w:eastAsia="zh-CN"/>
              </w:rPr>
              <w:t>警戒疏散</w:t>
            </w:r>
            <w:r>
              <w:rPr>
                <w:rFonts w:hint="default" w:ascii="Times New Roman" w:hAnsi="Times New Roman" w:eastAsia="仿宋" w:cs="Times New Roman"/>
                <w:spacing w:val="-5"/>
                <w:sz w:val="24"/>
                <w:szCs w:val="24"/>
                <w:highlight w:val="none"/>
              </w:rPr>
              <w:t>组做好外部救援力量接引准备，</w:t>
            </w:r>
            <w:r>
              <w:rPr>
                <w:rFonts w:hint="eastAsia" w:ascii="Times New Roman" w:hAnsi="Times New Roman" w:eastAsia="仿宋" w:cs="Times New Roman"/>
                <w:spacing w:val="-5"/>
                <w:sz w:val="24"/>
                <w:szCs w:val="24"/>
                <w:highlight w:val="none"/>
                <w:lang w:val="en-US" w:eastAsia="zh-CN"/>
              </w:rPr>
              <w:t>物资保障</w:t>
            </w:r>
            <w:r>
              <w:rPr>
                <w:rFonts w:hint="default" w:ascii="Times New Roman" w:hAnsi="Times New Roman" w:eastAsia="仿宋" w:cs="Times New Roman"/>
                <w:spacing w:val="-5"/>
                <w:sz w:val="24"/>
                <w:szCs w:val="24"/>
                <w:highlight w:val="none"/>
              </w:rPr>
              <w:t>组提供应急物资。现场处置组用消防沙袋封堵 雨水总排口。</w:t>
            </w:r>
          </w:p>
          <w:p w14:paraId="64670EA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4.待天津经济技术开发区应急管理局、天津经济技术开发区生态环境局应急力量到达现场后，移交环境应急指挥权，服从其应急安排。</w:t>
            </w:r>
          </w:p>
        </w:tc>
        <w:tc>
          <w:tcPr>
            <w:tcW w:w="1509" w:type="dxa"/>
            <w:shd w:val="clear" w:color="auto" w:fill="auto"/>
            <w:vAlign w:val="center"/>
          </w:tcPr>
          <w:p w14:paraId="40ADD2C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防护手套、口罩、灭火器、收集桶、消防沙袋、手持扩音器、急救箱、消防栓、消防水炮</w:t>
            </w:r>
          </w:p>
        </w:tc>
        <w:tc>
          <w:tcPr>
            <w:tcW w:w="1638" w:type="dxa"/>
            <w:shd w:val="clear" w:color="auto" w:fill="auto"/>
            <w:vAlign w:val="center"/>
          </w:tcPr>
          <w:p w14:paraId="6DC7C90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rPr>
            </w:pPr>
            <w:r>
              <w:rPr>
                <w:rFonts w:hint="default" w:ascii="Times New Roman" w:hAnsi="Times New Roman" w:eastAsia="仿宋" w:cs="Times New Roman"/>
                <w:spacing w:val="-5"/>
                <w:sz w:val="24"/>
                <w:szCs w:val="24"/>
                <w:highlight w:val="none"/>
              </w:rPr>
              <w:t>应急指挥部、</w:t>
            </w:r>
            <w:r>
              <w:rPr>
                <w:rFonts w:hint="eastAsia" w:ascii="Times New Roman" w:hAnsi="Times New Roman" w:eastAsia="仿宋" w:cs="Times New Roman"/>
                <w:spacing w:val="-5"/>
                <w:sz w:val="24"/>
                <w:szCs w:val="24"/>
                <w:highlight w:val="none"/>
                <w:lang w:val="en-US" w:eastAsia="zh-CN"/>
              </w:rPr>
              <w:t>抢险救援</w:t>
            </w:r>
            <w:r>
              <w:rPr>
                <w:rFonts w:hint="default" w:ascii="Times New Roman" w:hAnsi="Times New Roman" w:eastAsia="仿宋" w:cs="Times New Roman"/>
                <w:spacing w:val="-5"/>
                <w:sz w:val="24"/>
                <w:szCs w:val="24"/>
                <w:highlight w:val="none"/>
              </w:rPr>
              <w:t>组、医疗救护组、通讯联络组、</w:t>
            </w:r>
            <w:r>
              <w:rPr>
                <w:rFonts w:hint="eastAsia" w:ascii="Times New Roman" w:hAnsi="Times New Roman" w:eastAsia="仿宋" w:cs="Times New Roman"/>
                <w:spacing w:val="-5"/>
                <w:sz w:val="24"/>
                <w:szCs w:val="24"/>
                <w:highlight w:val="none"/>
                <w:lang w:val="en-US" w:eastAsia="zh-CN"/>
              </w:rPr>
              <w:t>警戒疏散</w:t>
            </w:r>
            <w:r>
              <w:rPr>
                <w:rFonts w:hint="default" w:ascii="Times New Roman" w:hAnsi="Times New Roman" w:eastAsia="仿宋" w:cs="Times New Roman"/>
                <w:spacing w:val="-5"/>
                <w:sz w:val="24"/>
                <w:szCs w:val="24"/>
                <w:highlight w:val="none"/>
              </w:rPr>
              <w:t>组、</w:t>
            </w:r>
            <w:r>
              <w:rPr>
                <w:rFonts w:hint="eastAsia" w:ascii="Times New Roman" w:hAnsi="Times New Roman" w:eastAsia="仿宋" w:cs="Times New Roman"/>
                <w:spacing w:val="-5"/>
                <w:sz w:val="24"/>
                <w:szCs w:val="24"/>
                <w:highlight w:val="none"/>
                <w:lang w:val="en-US" w:eastAsia="zh-CN"/>
              </w:rPr>
              <w:t>物资保障</w:t>
            </w:r>
            <w:r>
              <w:rPr>
                <w:rFonts w:hint="default" w:ascii="Times New Roman" w:hAnsi="Times New Roman" w:eastAsia="仿宋" w:cs="Times New Roman"/>
                <w:spacing w:val="-5"/>
                <w:sz w:val="24"/>
                <w:szCs w:val="24"/>
                <w:highlight w:val="none"/>
              </w:rPr>
              <w:t>组</w:t>
            </w:r>
          </w:p>
        </w:tc>
      </w:tr>
    </w:tbl>
    <w:p w14:paraId="6BD0F6A7">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w:t>
      </w:r>
      <w:r>
        <w:rPr>
          <w:rFonts w:hint="eastAsia" w:ascii="Times New Roman" w:hAnsi="Times New Roman" w:eastAsia="仿宋" w:cs="Times New Roman"/>
          <w:b/>
          <w:bCs/>
          <w:color w:val="auto"/>
          <w:spacing w:val="-7"/>
          <w:sz w:val="24"/>
          <w:szCs w:val="24"/>
          <w:lang w:val="en-US" w:eastAsia="zh-CN"/>
        </w:rPr>
        <w:t>6.3</w:t>
      </w:r>
      <w:r>
        <w:rPr>
          <w:rFonts w:hint="eastAsia" w:ascii="Times New Roman" w:hAnsi="Times New Roman" w:eastAsia="仿宋" w:cs="Times New Roman"/>
          <w:b/>
          <w:bCs/>
          <w:color w:val="auto"/>
          <w:spacing w:val="-7"/>
          <w:sz w:val="24"/>
          <w:szCs w:val="24"/>
        </w:rPr>
        <w:t>-3 周边单位疏散通报应急处置卡</w:t>
      </w:r>
    </w:p>
    <w:tbl>
      <w:tblPr>
        <w:tblStyle w:val="18"/>
        <w:tblW w:w="8338" w:type="dxa"/>
        <w:jc w:val="center"/>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Layout w:type="fixed"/>
        <w:tblCellMar>
          <w:top w:w="0" w:type="dxa"/>
          <w:left w:w="0" w:type="dxa"/>
          <w:bottom w:w="0" w:type="dxa"/>
          <w:right w:w="0" w:type="dxa"/>
        </w:tblCellMar>
      </w:tblPr>
      <w:tblGrid>
        <w:gridCol w:w="8338"/>
      </w:tblGrid>
      <w:tr w14:paraId="0101D241">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1171" w:hRule="atLeast"/>
          <w:jc w:val="center"/>
        </w:trPr>
        <w:tc>
          <w:tcPr>
            <w:tcW w:w="8338" w:type="dxa"/>
            <w:tcBorders>
              <w:top w:val="single" w:color="auto" w:sz="4" w:space="0"/>
              <w:left w:val="single" w:color="auto" w:sz="4" w:space="0"/>
              <w:bottom w:val="single" w:color="auto" w:sz="4" w:space="0"/>
              <w:right w:val="single" w:color="auto" w:sz="4" w:space="0"/>
            </w:tcBorders>
            <w:vAlign w:val="top"/>
          </w:tcPr>
          <w:p w14:paraId="4589C21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厂区发生可能影响周边的事故时，</w:t>
            </w:r>
            <w:r>
              <w:rPr>
                <w:rFonts w:hint="eastAsia" w:ascii="Times New Roman" w:hAnsi="Times New Roman" w:eastAsia="仿宋" w:cs="Times New Roman"/>
                <w:b/>
                <w:bCs/>
                <w:spacing w:val="-5"/>
                <w:sz w:val="24"/>
                <w:szCs w:val="24"/>
                <w:highlight w:val="none"/>
              </w:rPr>
              <w:t>通讯联络组</w:t>
            </w:r>
            <w:r>
              <w:rPr>
                <w:rFonts w:hint="eastAsia" w:ascii="Times New Roman" w:hAnsi="Times New Roman" w:eastAsia="仿宋" w:cs="Times New Roman"/>
                <w:spacing w:val="-5"/>
                <w:sz w:val="24"/>
                <w:szCs w:val="24"/>
                <w:highlight w:val="none"/>
              </w:rPr>
              <w:t>第一时间通知周边可能受影响的企业。通知方式为电话通知或紧急广播通知等。通报内容包括事故已造成或可能造成的污染情况、企业应采取的避险措施、疏散路线以及避难所位置等。通报如下所述：</w:t>
            </w:r>
          </w:p>
        </w:tc>
      </w:tr>
      <w:tr w14:paraId="432D3F10">
        <w:tblPrEx>
          <w:tblBorders>
            <w:top w:val="single" w:color="000000" w:sz="10" w:space="0"/>
            <w:left w:val="single" w:color="000000" w:sz="10" w:space="0"/>
            <w:bottom w:val="single" w:color="000000" w:sz="10" w:space="0"/>
            <w:right w:val="single" w:color="000000" w:sz="10" w:space="0"/>
            <w:insideH w:val="single" w:color="000000" w:sz="10" w:space="0"/>
            <w:insideV w:val="single" w:color="000000" w:sz="10" w:space="0"/>
          </w:tblBorders>
          <w:tblCellMar>
            <w:top w:w="0" w:type="dxa"/>
            <w:left w:w="0" w:type="dxa"/>
            <w:bottom w:w="0" w:type="dxa"/>
            <w:right w:w="0" w:type="dxa"/>
          </w:tblCellMar>
        </w:tblPrEx>
        <w:trPr>
          <w:trHeight w:val="2325" w:hRule="atLeast"/>
          <w:jc w:val="center"/>
        </w:trPr>
        <w:tc>
          <w:tcPr>
            <w:tcW w:w="8338" w:type="dxa"/>
            <w:tcBorders>
              <w:top w:val="single" w:color="auto" w:sz="4" w:space="0"/>
              <w:left w:val="single" w:color="auto" w:sz="4" w:space="0"/>
              <w:bottom w:val="single" w:color="auto" w:sz="4" w:space="0"/>
              <w:right w:val="single" w:color="auto" w:sz="4" w:space="0"/>
            </w:tcBorders>
            <w:vAlign w:val="top"/>
          </w:tcPr>
          <w:p w14:paraId="6257D7E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 xml:space="preserve">&lt;1&gt;通 报 者：_天津立中轻合金锻造有限公司       </w:t>
            </w:r>
            <w:r>
              <w:rPr>
                <w:rFonts w:hint="eastAsia" w:ascii="Times New Roman" w:hAnsi="Times New Roman" w:eastAsia="仿宋" w:cs="Times New Roman"/>
                <w:spacing w:val="-5"/>
                <w:sz w:val="24"/>
                <w:szCs w:val="24"/>
                <w:highlight w:val="none"/>
                <w:lang w:eastAsia="zh-CN"/>
              </w:rPr>
              <w:t>（</w:t>
            </w:r>
            <w:r>
              <w:rPr>
                <w:rFonts w:hint="eastAsia" w:ascii="Times New Roman" w:hAnsi="Times New Roman" w:eastAsia="仿宋" w:cs="Times New Roman"/>
                <w:spacing w:val="-5"/>
                <w:sz w:val="24"/>
                <w:szCs w:val="24"/>
                <w:highlight w:val="none"/>
              </w:rPr>
              <w:t>姓名</w:t>
            </w:r>
            <w:r>
              <w:rPr>
                <w:rFonts w:hint="eastAsia" w:ascii="Times New Roman" w:hAnsi="Times New Roman" w:eastAsia="仿宋" w:cs="Times New Roman"/>
                <w:spacing w:val="-5"/>
                <w:sz w:val="24"/>
                <w:szCs w:val="24"/>
                <w:highlight w:val="none"/>
                <w:lang w:eastAsia="zh-CN"/>
              </w:rPr>
              <w:t>）</w:t>
            </w:r>
            <w:r>
              <w:rPr>
                <w:rFonts w:hint="eastAsia" w:ascii="Times New Roman" w:hAnsi="Times New Roman" w:eastAsia="仿宋" w:cs="Times New Roman"/>
                <w:spacing w:val="-5"/>
                <w:sz w:val="24"/>
                <w:szCs w:val="24"/>
                <w:highlight w:val="none"/>
              </w:rPr>
              <w:t>报告</w:t>
            </w:r>
          </w:p>
          <w:p w14:paraId="5CF8BA3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 xml:space="preserve">&lt;2&gt;灾害地点：            </w:t>
            </w:r>
            <w:r>
              <w:rPr>
                <w:rFonts w:hint="eastAsia" w:ascii="Times New Roman" w:hAnsi="Times New Roman" w:eastAsia="仿宋" w:cs="Times New Roman"/>
                <w:spacing w:val="-5"/>
                <w:sz w:val="24"/>
                <w:szCs w:val="24"/>
                <w:highlight w:val="none"/>
                <w:lang w:eastAsia="zh-CN"/>
              </w:rPr>
              <w:t>（</w:t>
            </w:r>
            <w:r>
              <w:rPr>
                <w:rFonts w:hint="eastAsia" w:ascii="Times New Roman" w:hAnsi="Times New Roman" w:eastAsia="仿宋" w:cs="Times New Roman"/>
                <w:spacing w:val="-5"/>
                <w:sz w:val="24"/>
                <w:szCs w:val="24"/>
                <w:highlight w:val="none"/>
              </w:rPr>
              <w:t>具体地点</w:t>
            </w:r>
            <w:r>
              <w:rPr>
                <w:rFonts w:hint="eastAsia" w:ascii="Times New Roman" w:hAnsi="Times New Roman" w:eastAsia="仿宋" w:cs="Times New Roman"/>
                <w:spacing w:val="-5"/>
                <w:sz w:val="24"/>
                <w:szCs w:val="24"/>
                <w:highlight w:val="none"/>
                <w:lang w:eastAsia="zh-CN"/>
              </w:rPr>
              <w:t>）</w:t>
            </w:r>
          </w:p>
          <w:p w14:paraId="6205C57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&lt;3&gt;时       间：于        日          点        分发生</w:t>
            </w:r>
          </w:p>
          <w:p w14:paraId="03CDC41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 xml:space="preserve">&lt;4&gt;灾害种类：            </w:t>
            </w:r>
            <w:r>
              <w:rPr>
                <w:rFonts w:hint="eastAsia" w:ascii="Times New Roman" w:hAnsi="Times New Roman" w:eastAsia="仿宋" w:cs="Times New Roman"/>
                <w:spacing w:val="-5"/>
                <w:sz w:val="24"/>
                <w:szCs w:val="24"/>
                <w:highlight w:val="none"/>
                <w:lang w:eastAsia="zh-CN"/>
              </w:rPr>
              <w:t>（</w:t>
            </w:r>
            <w:r>
              <w:rPr>
                <w:rFonts w:hint="eastAsia" w:ascii="Times New Roman" w:hAnsi="Times New Roman" w:eastAsia="仿宋" w:cs="Times New Roman"/>
                <w:spacing w:val="-5"/>
                <w:sz w:val="24"/>
                <w:szCs w:val="24"/>
                <w:highlight w:val="none"/>
              </w:rPr>
              <w:t>火灾</w:t>
            </w:r>
            <w:r>
              <w:rPr>
                <w:rFonts w:hint="eastAsia" w:ascii="Times New Roman" w:hAnsi="Times New Roman" w:eastAsia="仿宋" w:cs="Times New Roman"/>
                <w:spacing w:val="-5"/>
                <w:sz w:val="24"/>
                <w:szCs w:val="24"/>
                <w:highlight w:val="none"/>
                <w:lang w:eastAsia="zh-CN"/>
              </w:rPr>
              <w:t>）</w:t>
            </w:r>
          </w:p>
          <w:p w14:paraId="6A77A27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&lt;5&gt;灾       情：                       （潜在的危害程度，转化方式趋向，可能受影响区域）</w:t>
            </w:r>
          </w:p>
          <w:p w14:paraId="6D5EF35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&lt;6&gt;应急措施：紧急隔离，紧闭门窗等防护措施</w:t>
            </w:r>
          </w:p>
          <w:p w14:paraId="3DA17A5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both"/>
              <w:textAlignment w:val="baseline"/>
              <w:rPr>
                <w:rFonts w:hint="eastAsia" w:ascii="Times New Roman" w:hAnsi="Times New Roman" w:eastAsia="仿宋" w:cs="Times New Roman"/>
                <w:spacing w:val="-5"/>
                <w:sz w:val="24"/>
                <w:szCs w:val="24"/>
                <w:highlight w:val="none"/>
                <w:lang w:eastAsia="zh-CN"/>
              </w:rPr>
            </w:pPr>
            <w:r>
              <w:rPr>
                <w:rFonts w:hint="eastAsia" w:ascii="Times New Roman" w:hAnsi="Times New Roman" w:eastAsia="仿宋" w:cs="Times New Roman"/>
                <w:spacing w:val="-5"/>
                <w:sz w:val="24"/>
                <w:szCs w:val="24"/>
                <w:highlight w:val="none"/>
              </w:rPr>
              <w:t>&lt;7&gt;联络电话：</w:t>
            </w:r>
            <w:r>
              <w:rPr>
                <w:rFonts w:hint="eastAsia" w:ascii="Times New Roman" w:hAnsi="Times New Roman" w:eastAsia="仿宋" w:cs="Times New Roman"/>
                <w:spacing w:val="-5"/>
                <w:sz w:val="24"/>
                <w:szCs w:val="24"/>
                <w:highlight w:val="none"/>
                <w:lang w:eastAsia="zh-CN"/>
              </w:rPr>
              <w:t>16629060081</w:t>
            </w:r>
          </w:p>
        </w:tc>
      </w:tr>
    </w:tbl>
    <w:p w14:paraId="18741E0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需要开展监测时，应急监测人员进入现场时应穿戴个人防护用品和有效的呼吸防护装置。环境应急组向现场应急监测人员介绍事故情况及涉及环境风险物质的基础资料，协助应急监测人员做好应急监测。根据可能发生的事故类型确定应急监测的因子、监测点位和监测频次。应急监测设置见下表。</w:t>
      </w:r>
    </w:p>
    <w:p w14:paraId="04EEDBA9">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表6.3-4 火灾事故应急监测设置情况</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47"/>
        <w:gridCol w:w="1225"/>
        <w:gridCol w:w="1163"/>
        <w:gridCol w:w="3325"/>
        <w:gridCol w:w="1717"/>
      </w:tblGrid>
      <w:tr w14:paraId="022F254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Align w:val="center"/>
          </w:tcPr>
          <w:p w14:paraId="14E8668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事故源</w:t>
            </w:r>
          </w:p>
        </w:tc>
        <w:tc>
          <w:tcPr>
            <w:tcW w:w="1225" w:type="dxa"/>
            <w:vAlign w:val="center"/>
          </w:tcPr>
          <w:p w14:paraId="45F4FF7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环境要素</w:t>
            </w:r>
          </w:p>
        </w:tc>
        <w:tc>
          <w:tcPr>
            <w:tcW w:w="1163" w:type="dxa"/>
            <w:vAlign w:val="center"/>
          </w:tcPr>
          <w:p w14:paraId="6081AC3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监测因子</w:t>
            </w:r>
          </w:p>
        </w:tc>
        <w:tc>
          <w:tcPr>
            <w:tcW w:w="3325" w:type="dxa"/>
            <w:vAlign w:val="center"/>
          </w:tcPr>
          <w:p w14:paraId="5793E57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监测点位</w:t>
            </w:r>
          </w:p>
        </w:tc>
        <w:tc>
          <w:tcPr>
            <w:tcW w:w="1717" w:type="dxa"/>
            <w:vAlign w:val="center"/>
          </w:tcPr>
          <w:p w14:paraId="64AD5E7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应急监测频次</w:t>
            </w:r>
          </w:p>
        </w:tc>
      </w:tr>
      <w:tr w14:paraId="4ECCF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Align w:val="center"/>
          </w:tcPr>
          <w:p w14:paraId="5C5C264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厂区</w:t>
            </w:r>
          </w:p>
        </w:tc>
        <w:tc>
          <w:tcPr>
            <w:tcW w:w="1225" w:type="dxa"/>
            <w:vAlign w:val="center"/>
          </w:tcPr>
          <w:p w14:paraId="0ECE523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大气</w:t>
            </w:r>
          </w:p>
        </w:tc>
        <w:tc>
          <w:tcPr>
            <w:tcW w:w="1163" w:type="dxa"/>
            <w:vAlign w:val="center"/>
          </w:tcPr>
          <w:p w14:paraId="706987F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CO</w:t>
            </w:r>
          </w:p>
        </w:tc>
        <w:tc>
          <w:tcPr>
            <w:tcW w:w="3325" w:type="dxa"/>
            <w:vAlign w:val="center"/>
          </w:tcPr>
          <w:p w14:paraId="58794D2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上风向适当位置设对照点，下风向按一定间隔扇形布点，在大气风险受体处布点</w:t>
            </w:r>
          </w:p>
        </w:tc>
        <w:tc>
          <w:tcPr>
            <w:tcW w:w="1717" w:type="dxa"/>
            <w:vAlign w:val="center"/>
          </w:tcPr>
          <w:p w14:paraId="59E33FB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根据现场情况由应急监测人员确定</w:t>
            </w:r>
          </w:p>
        </w:tc>
      </w:tr>
      <w:tr w14:paraId="72B0C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47" w:type="dxa"/>
            <w:vAlign w:val="center"/>
          </w:tcPr>
          <w:p w14:paraId="3B82054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lang w:val="en-US" w:eastAsia="zh-CN"/>
              </w:rPr>
              <w:t>厂区</w:t>
            </w:r>
          </w:p>
        </w:tc>
        <w:tc>
          <w:tcPr>
            <w:tcW w:w="1225" w:type="dxa"/>
            <w:vAlign w:val="center"/>
          </w:tcPr>
          <w:p w14:paraId="0A44976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地表水</w:t>
            </w:r>
          </w:p>
        </w:tc>
        <w:tc>
          <w:tcPr>
            <w:tcW w:w="1163" w:type="dxa"/>
            <w:vAlign w:val="center"/>
          </w:tcPr>
          <w:p w14:paraId="0DE03B6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石油类、pH、COD等</w:t>
            </w:r>
          </w:p>
        </w:tc>
        <w:tc>
          <w:tcPr>
            <w:tcW w:w="3325" w:type="dxa"/>
            <w:vAlign w:val="center"/>
          </w:tcPr>
          <w:p w14:paraId="58DBBA0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rPr>
            </w:pPr>
            <w:r>
              <w:rPr>
                <w:rFonts w:hint="eastAsia" w:ascii="Times New Roman" w:hAnsi="Times New Roman" w:eastAsia="仿宋" w:cs="Times New Roman"/>
                <w:spacing w:val="-5"/>
                <w:sz w:val="24"/>
                <w:szCs w:val="24"/>
                <w:highlight w:val="none"/>
              </w:rPr>
              <w:t>上游一定距离布设对照断面，雨水排放进入西区景观河位置以及下游布点</w:t>
            </w:r>
          </w:p>
        </w:tc>
        <w:tc>
          <w:tcPr>
            <w:tcW w:w="1717" w:type="dxa"/>
            <w:vAlign w:val="center"/>
          </w:tcPr>
          <w:p w14:paraId="1377045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根据现场情况由应急监测人员确定</w:t>
            </w:r>
          </w:p>
        </w:tc>
      </w:tr>
    </w:tbl>
    <w:p w14:paraId="35F44D9B">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53" w:name="_Toc18988"/>
      <w:r>
        <w:rPr>
          <w:rFonts w:hint="eastAsia" w:ascii="Times New Roman" w:hAnsi="Times New Roman" w:eastAsia="仿宋" w:cs="Times New Roman"/>
          <w:sz w:val="30"/>
          <w:szCs w:val="30"/>
          <w:lang w:eastAsia="zh-CN"/>
        </w:rPr>
        <w:t>风险物质泄漏事故现场应急处置</w:t>
      </w:r>
      <w:bookmarkEnd w:id="53"/>
    </w:p>
    <w:p w14:paraId="7D89456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风险物质泄漏事故现场应急处置与公司《有毒有害化学品泄漏事故专项应急预案》相衔接。</w:t>
      </w:r>
    </w:p>
    <w:p w14:paraId="7C51A1C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预警方式：现场发现、人员巡视或视频监控发现有风险物质泄漏时，发现人员迅速报告给当班生产主管，由现场负责人启动</w:t>
      </w:r>
      <w:r>
        <w:rPr>
          <w:rFonts w:hint="eastAsia" w:ascii="Times New Roman" w:hAnsi="Times New Roman" w:eastAsia="仿宋" w:cs="Times New Roman"/>
          <w:color w:val="auto"/>
          <w:spacing w:val="0"/>
          <w:w w:val="100"/>
          <w:sz w:val="28"/>
          <w:szCs w:val="28"/>
          <w:lang w:val="en-US" w:eastAsia="zh-CN"/>
        </w:rPr>
        <w:t>车间级</w:t>
      </w:r>
      <w:r>
        <w:rPr>
          <w:rFonts w:hint="eastAsia" w:ascii="Times New Roman" w:hAnsi="Times New Roman" w:eastAsia="仿宋" w:cs="Times New Roman"/>
          <w:color w:val="auto"/>
          <w:spacing w:val="0"/>
          <w:w w:val="100"/>
          <w:sz w:val="28"/>
          <w:szCs w:val="28"/>
          <w:lang w:val="en-US" w:eastAsia="en-US"/>
        </w:rPr>
        <w:t>响应，不启动公司警报，事故发生区域的现场负责人负责现场指挥，对泄漏源及泄漏物两部分进行以下处理：</w:t>
      </w:r>
    </w:p>
    <w:p w14:paraId="6C572E9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（1）一组人立刻控制泄漏源，翻转桶泄漏点使开口向上，或封堵泄漏口的方式阻止进一步的溢出或泄漏，用新的盛装容器盛装液体。由值班负责人员组织本班人员对泄漏进行初步处理，防止事态扩大。</w:t>
      </w:r>
    </w:p>
    <w:p w14:paraId="47CF43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另一组人取来消防沙，采用吸附材料在泄漏物质周围进行临时围挡，对泄漏物进行加盖，同时用收集桶收集泄漏物、沾染泄漏物质的吸附材料，用抹布等吸附材料将泄漏出来的物质擦拭处理完毕，沾染泄漏物质的吸附材料存放于密闭收集桶内，暂存于危废暂存间，作为危险废物交有资质单位处理，残留于地面上的泄漏物质，要清理干净。</w:t>
      </w:r>
    </w:p>
    <w:p w14:paraId="760BD99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厂房内风险物质泄漏事故应急处置卡如下：</w:t>
      </w:r>
    </w:p>
    <w:p w14:paraId="7F479760">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表6.3-5 厂房内风险物质泄漏事故应急处置卡</w:t>
      </w:r>
    </w:p>
    <w:p w14:paraId="2D9A4712">
      <w:pPr>
        <w:spacing w:line="41" w:lineRule="auto"/>
        <w:rPr>
          <w:rFonts w:hint="eastAsia" w:ascii="仿宋" w:hAnsi="仿宋" w:eastAsia="仿宋" w:cs="仿宋"/>
          <w:sz w:val="2"/>
          <w:highlight w:val="yellow"/>
        </w:rPr>
      </w:pP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3"/>
        <w:gridCol w:w="3787"/>
        <w:gridCol w:w="1325"/>
        <w:gridCol w:w="1714"/>
      </w:tblGrid>
      <w:tr w14:paraId="274234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3" w:type="dxa"/>
            <w:vAlign w:val="center"/>
          </w:tcPr>
          <w:p w14:paraId="5F915EA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风险单元名称</w:t>
            </w:r>
          </w:p>
        </w:tc>
        <w:tc>
          <w:tcPr>
            <w:tcW w:w="3787" w:type="dxa"/>
            <w:vAlign w:val="center"/>
          </w:tcPr>
          <w:p w14:paraId="259F9C2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val="0"/>
                <w:bCs w:val="0"/>
                <w:spacing w:val="-5"/>
                <w:sz w:val="24"/>
                <w:szCs w:val="24"/>
                <w:highlight w:val="none"/>
                <w:lang w:val="en-US" w:eastAsia="zh-CN"/>
              </w:rPr>
              <w:t>厂房内</w:t>
            </w:r>
          </w:p>
        </w:tc>
        <w:tc>
          <w:tcPr>
            <w:tcW w:w="1325" w:type="dxa"/>
            <w:vAlign w:val="center"/>
          </w:tcPr>
          <w:p w14:paraId="61760CE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岗位名称</w:t>
            </w:r>
          </w:p>
        </w:tc>
        <w:tc>
          <w:tcPr>
            <w:tcW w:w="1714" w:type="dxa"/>
            <w:vAlign w:val="center"/>
          </w:tcPr>
          <w:p w14:paraId="6B51870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val="0"/>
                <w:bCs w:val="0"/>
                <w:spacing w:val="-5"/>
                <w:sz w:val="24"/>
                <w:szCs w:val="24"/>
                <w:highlight w:val="none"/>
                <w:lang w:val="en-US" w:eastAsia="zh-CN"/>
              </w:rPr>
              <w:t>生产部</w:t>
            </w:r>
          </w:p>
        </w:tc>
      </w:tr>
      <w:tr w14:paraId="61FC75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3" w:type="dxa"/>
            <w:vAlign w:val="center"/>
          </w:tcPr>
          <w:p w14:paraId="0B3AD54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事件情景</w:t>
            </w:r>
          </w:p>
        </w:tc>
        <w:tc>
          <w:tcPr>
            <w:tcW w:w="3787" w:type="dxa"/>
            <w:vAlign w:val="center"/>
          </w:tcPr>
          <w:p w14:paraId="01F1181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处理步骤</w:t>
            </w:r>
          </w:p>
        </w:tc>
        <w:tc>
          <w:tcPr>
            <w:tcW w:w="1325" w:type="dxa"/>
            <w:vAlign w:val="center"/>
          </w:tcPr>
          <w:p w14:paraId="201CF66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应急物资</w:t>
            </w:r>
          </w:p>
        </w:tc>
        <w:tc>
          <w:tcPr>
            <w:tcW w:w="1714" w:type="dxa"/>
            <w:vAlign w:val="center"/>
          </w:tcPr>
          <w:p w14:paraId="37C88B7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注意事项</w:t>
            </w:r>
          </w:p>
        </w:tc>
      </w:tr>
      <w:tr w14:paraId="5955DE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3" w:type="dxa"/>
            <w:shd w:val="clear" w:color="auto" w:fill="auto"/>
            <w:vAlign w:val="center"/>
          </w:tcPr>
          <w:p w14:paraId="0F38184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en-US"/>
              </w:rPr>
            </w:pPr>
            <w:r>
              <w:rPr>
                <w:rFonts w:hint="eastAsia" w:ascii="Times New Roman" w:hAnsi="Times New Roman" w:eastAsia="仿宋" w:cs="Times New Roman"/>
                <w:spacing w:val="-5"/>
                <w:sz w:val="24"/>
                <w:szCs w:val="24"/>
                <w:highlight w:val="none"/>
                <w:lang w:val="en-US" w:eastAsia="zh-CN"/>
              </w:rPr>
              <w:t>三期厂房脱模剂、切削液、液压油中矿物油类物质在储存或转移过程若发生泄漏</w:t>
            </w:r>
          </w:p>
        </w:tc>
        <w:tc>
          <w:tcPr>
            <w:tcW w:w="3787" w:type="dxa"/>
            <w:shd w:val="clear" w:color="auto" w:fill="auto"/>
            <w:vAlign w:val="center"/>
          </w:tcPr>
          <w:p w14:paraId="7A4196A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eastAsia="仿宋" w:cs="Times New Roman"/>
                <w:spacing w:val="-5"/>
                <w:sz w:val="24"/>
                <w:szCs w:val="24"/>
                <w:highlight w:val="none"/>
                <w:lang w:val="en-US" w:eastAsia="zh-CN"/>
              </w:rPr>
            </w:pPr>
            <w:r>
              <w:rPr>
                <w:rFonts w:hint="default" w:ascii="Times New Roman" w:hAnsi="Times New Roman" w:eastAsia="仿宋" w:cs="Times New Roman"/>
                <w:spacing w:val="-5"/>
                <w:sz w:val="24"/>
                <w:szCs w:val="24"/>
                <w:highlight w:val="none"/>
                <w:lang w:val="en-US" w:eastAsia="zh-CN"/>
              </w:rPr>
              <w:t>①</w:t>
            </w:r>
            <w:r>
              <w:rPr>
                <w:rFonts w:hint="eastAsia" w:ascii="Times New Roman" w:hAnsi="Times New Roman" w:eastAsia="仿宋" w:cs="Times New Roman"/>
                <w:spacing w:val="-5"/>
                <w:sz w:val="24"/>
                <w:szCs w:val="24"/>
                <w:highlight w:val="none"/>
                <w:lang w:val="en-US" w:eastAsia="zh-CN"/>
              </w:rPr>
              <w:t>一组人立刻控制泄漏源，翻转桶罐泄漏点使开口向上，或封堵泄漏口的方式阻止进一步的溢出或泄漏，用新的盛装容器盛装液体。由值班负责人员组织本班人员对泄漏进行初步处理，防止事态扩大；</w:t>
            </w:r>
          </w:p>
          <w:p w14:paraId="5E4AA74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eastAsia="仿宋" w:cs="Times New Roman"/>
                <w:spacing w:val="-5"/>
                <w:sz w:val="24"/>
                <w:szCs w:val="24"/>
                <w:highlight w:val="none"/>
                <w:lang w:val="en-US" w:eastAsia="en-US"/>
              </w:rPr>
            </w:pPr>
            <w:r>
              <w:rPr>
                <w:rFonts w:hint="default" w:ascii="Times New Roman" w:hAnsi="Times New Roman" w:eastAsia="仿宋" w:cs="Times New Roman"/>
                <w:spacing w:val="-5"/>
                <w:sz w:val="24"/>
                <w:szCs w:val="24"/>
                <w:highlight w:val="none"/>
                <w:lang w:val="en-US" w:eastAsia="zh-CN"/>
              </w:rPr>
              <w:t>②</w:t>
            </w:r>
            <w:r>
              <w:rPr>
                <w:rFonts w:hint="eastAsia" w:ascii="Times New Roman" w:hAnsi="Times New Roman" w:eastAsia="仿宋" w:cs="Times New Roman"/>
                <w:spacing w:val="-5"/>
                <w:sz w:val="24"/>
                <w:szCs w:val="24"/>
                <w:highlight w:val="none"/>
                <w:lang w:val="en-US" w:eastAsia="zh-CN"/>
              </w:rPr>
              <w:t>另一组人取来消防沙，对泄漏物进行加盖，同时用收集桶收集泄漏物、沾染泄漏物质的吸附材料，用抹布等吸附材料将泄漏出来的物质擦拭处理完毕，沾染泄漏物质的吸附材料存放于密闭收集桶内，暂存于危废暂存间，作为危险废物交有资质单位处理，残留于地面上的泄漏物质，要清理干净。</w:t>
            </w:r>
          </w:p>
        </w:tc>
        <w:tc>
          <w:tcPr>
            <w:tcW w:w="1325" w:type="dxa"/>
            <w:vAlign w:val="center"/>
          </w:tcPr>
          <w:p w14:paraId="4D310A7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收集容器、防漏托盘、砂土等</w:t>
            </w:r>
          </w:p>
        </w:tc>
        <w:tc>
          <w:tcPr>
            <w:tcW w:w="1714" w:type="dxa"/>
            <w:vAlign w:val="center"/>
          </w:tcPr>
          <w:p w14:paraId="6EAFEF0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在现场负责人指挥下投入现场应急处置，无关人员撤离</w:t>
            </w:r>
          </w:p>
        </w:tc>
      </w:tr>
    </w:tbl>
    <w:p w14:paraId="24A972E2">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54" w:name="_Toc11581"/>
      <w:r>
        <w:rPr>
          <w:rFonts w:hint="eastAsia" w:ascii="Times New Roman" w:hAnsi="Times New Roman" w:eastAsia="仿宋" w:cs="Times New Roman"/>
          <w:sz w:val="30"/>
          <w:szCs w:val="30"/>
          <w:lang w:eastAsia="zh-CN"/>
        </w:rPr>
        <w:t>危险废物泄漏事故现场应急处置</w:t>
      </w:r>
      <w:bookmarkEnd w:id="54"/>
    </w:p>
    <w:p w14:paraId="2C90D0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废切削液、废液压油、锻造回收废油存在量均小于等于200L，若发生泄漏事故，均属于小量泄漏，由现场负责人启动车间级响应，调集所需的应急物资进行应急处置。现场处置人员在现场负责人的指挥下投入应急处置工作，一组人员调用堵漏工具根据情况实施堵漏或将剩余油品转入备用空桶，另一组人员采用吸附材料将泄漏物质吸干或擦除，然后将废吸收材料置于密闭容器内。</w:t>
      </w:r>
    </w:p>
    <w:p w14:paraId="1CB6D3F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危废暂存间废切削液、废液压油、锻造回收废油泄漏事故应急处置卡如下：</w:t>
      </w:r>
    </w:p>
    <w:p w14:paraId="03D4E302">
      <w:pPr>
        <w:keepNext w:val="0"/>
        <w:keepLines w:val="0"/>
        <w:pageBreakBefore w:val="0"/>
        <w:widowControl/>
        <w:kinsoku w:val="0"/>
        <w:wordWrap/>
        <w:overflowPunct/>
        <w:topLinePunct w:val="0"/>
        <w:autoSpaceDE w:val="0"/>
        <w:autoSpaceDN w:val="0"/>
        <w:bidi w:val="0"/>
        <w:adjustRightInd w:val="0"/>
        <w:snapToGrid w:val="0"/>
        <w:spacing w:line="240" w:lineRule="auto"/>
        <w:ind w:left="0" w:right="0"/>
        <w:jc w:val="center"/>
        <w:textAlignment w:val="baseline"/>
        <w:outlineLvl w:val="3"/>
        <w:rPr>
          <w:rFonts w:hint="eastAsia" w:ascii="Times New Roman" w:hAnsi="Times New Roman" w:eastAsia="仿宋" w:cs="Times New Roman"/>
          <w:b/>
          <w:bCs/>
          <w:color w:val="auto"/>
          <w:spacing w:val="-7"/>
          <w:sz w:val="24"/>
          <w:szCs w:val="24"/>
        </w:rPr>
      </w:pPr>
      <w:r>
        <w:rPr>
          <w:rFonts w:hint="eastAsia" w:ascii="Times New Roman" w:hAnsi="Times New Roman" w:eastAsia="仿宋" w:cs="Times New Roman"/>
          <w:b/>
          <w:bCs/>
          <w:color w:val="auto"/>
          <w:spacing w:val="-7"/>
          <w:sz w:val="24"/>
          <w:szCs w:val="24"/>
        </w:rPr>
        <w:t>表6.3-6 危废暂存间废切削液、废液压油、锻造回收废油泄漏事故应急处置卡</w:t>
      </w:r>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813"/>
        <w:gridCol w:w="3787"/>
        <w:gridCol w:w="1325"/>
        <w:gridCol w:w="1714"/>
      </w:tblGrid>
      <w:tr w14:paraId="3EF48F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3" w:type="dxa"/>
            <w:vAlign w:val="center"/>
          </w:tcPr>
          <w:p w14:paraId="7F8F8CB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风险单元名称</w:t>
            </w:r>
          </w:p>
        </w:tc>
        <w:tc>
          <w:tcPr>
            <w:tcW w:w="3787" w:type="dxa"/>
            <w:vAlign w:val="center"/>
          </w:tcPr>
          <w:p w14:paraId="709EF0D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val="0"/>
                <w:bCs w:val="0"/>
                <w:spacing w:val="-5"/>
                <w:sz w:val="24"/>
                <w:szCs w:val="24"/>
                <w:highlight w:val="none"/>
                <w:lang w:val="en-US" w:eastAsia="zh-CN"/>
              </w:rPr>
              <w:t>危废暂存间</w:t>
            </w:r>
          </w:p>
        </w:tc>
        <w:tc>
          <w:tcPr>
            <w:tcW w:w="1325" w:type="dxa"/>
            <w:vAlign w:val="center"/>
          </w:tcPr>
          <w:p w14:paraId="789D37D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岗位名称</w:t>
            </w:r>
          </w:p>
        </w:tc>
        <w:tc>
          <w:tcPr>
            <w:tcW w:w="1714" w:type="dxa"/>
            <w:vAlign w:val="center"/>
          </w:tcPr>
          <w:p w14:paraId="61A1C0A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val="0"/>
                <w:bCs w:val="0"/>
                <w:spacing w:val="-5"/>
                <w:sz w:val="24"/>
                <w:szCs w:val="24"/>
                <w:highlight w:val="none"/>
                <w:lang w:val="en-US" w:eastAsia="zh-CN"/>
              </w:rPr>
              <w:t>EHS</w:t>
            </w:r>
          </w:p>
        </w:tc>
      </w:tr>
      <w:tr w14:paraId="4AA493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3" w:type="dxa"/>
            <w:vAlign w:val="center"/>
          </w:tcPr>
          <w:p w14:paraId="053B8EE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事件情景</w:t>
            </w:r>
          </w:p>
        </w:tc>
        <w:tc>
          <w:tcPr>
            <w:tcW w:w="3787" w:type="dxa"/>
            <w:vAlign w:val="center"/>
          </w:tcPr>
          <w:p w14:paraId="104BEB5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处理步骤</w:t>
            </w:r>
          </w:p>
        </w:tc>
        <w:tc>
          <w:tcPr>
            <w:tcW w:w="1325" w:type="dxa"/>
            <w:vAlign w:val="center"/>
          </w:tcPr>
          <w:p w14:paraId="10FC6AB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应急物资</w:t>
            </w:r>
          </w:p>
        </w:tc>
        <w:tc>
          <w:tcPr>
            <w:tcW w:w="1714" w:type="dxa"/>
            <w:vAlign w:val="center"/>
          </w:tcPr>
          <w:p w14:paraId="057089E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b/>
                <w:bCs/>
                <w:spacing w:val="-5"/>
                <w:sz w:val="24"/>
                <w:szCs w:val="24"/>
                <w:highlight w:val="none"/>
                <w:lang w:val="en-US" w:eastAsia="zh-CN"/>
              </w:rPr>
            </w:pPr>
            <w:r>
              <w:rPr>
                <w:rFonts w:hint="eastAsia" w:ascii="Times New Roman" w:hAnsi="Times New Roman" w:eastAsia="仿宋" w:cs="Times New Roman"/>
                <w:b/>
                <w:bCs/>
                <w:spacing w:val="-5"/>
                <w:sz w:val="24"/>
                <w:szCs w:val="24"/>
                <w:highlight w:val="none"/>
                <w:lang w:val="en-US" w:eastAsia="zh-CN"/>
              </w:rPr>
              <w:t>注意事项</w:t>
            </w:r>
          </w:p>
        </w:tc>
      </w:tr>
      <w:tr w14:paraId="56BB4F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813" w:type="dxa"/>
            <w:shd w:val="clear" w:color="auto" w:fill="auto"/>
            <w:vAlign w:val="center"/>
          </w:tcPr>
          <w:p w14:paraId="1823C0E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en-US"/>
              </w:rPr>
            </w:pPr>
            <w:r>
              <w:rPr>
                <w:rFonts w:hint="eastAsia" w:ascii="Times New Roman" w:hAnsi="Times New Roman" w:eastAsia="仿宋" w:cs="Times New Roman"/>
                <w:spacing w:val="-5"/>
                <w:sz w:val="24"/>
                <w:szCs w:val="24"/>
                <w:highlight w:val="none"/>
                <w:lang w:val="en-US" w:eastAsia="zh-CN"/>
              </w:rPr>
              <w:t>废切削液、废液压油、锻造回收废油发生泄漏</w:t>
            </w:r>
          </w:p>
        </w:tc>
        <w:tc>
          <w:tcPr>
            <w:tcW w:w="3787" w:type="dxa"/>
            <w:shd w:val="clear" w:color="auto" w:fill="auto"/>
            <w:vAlign w:val="center"/>
          </w:tcPr>
          <w:p w14:paraId="36CE066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eastAsia="仿宋" w:cs="Times New Roman"/>
                <w:spacing w:val="-5"/>
                <w:sz w:val="24"/>
                <w:szCs w:val="24"/>
                <w:highlight w:val="none"/>
                <w:lang w:val="en-US" w:eastAsia="zh-CN"/>
              </w:rPr>
            </w:pPr>
            <w:r>
              <w:rPr>
                <w:rFonts w:hint="default" w:ascii="Times New Roman" w:hAnsi="Times New Roman" w:eastAsia="仿宋" w:cs="Times New Roman"/>
                <w:spacing w:val="-5"/>
                <w:sz w:val="24"/>
                <w:szCs w:val="24"/>
                <w:highlight w:val="none"/>
                <w:lang w:val="en-US" w:eastAsia="zh-CN"/>
              </w:rPr>
              <w:t>①</w:t>
            </w:r>
            <w:r>
              <w:rPr>
                <w:rFonts w:hint="eastAsia" w:ascii="Times New Roman" w:hAnsi="Times New Roman" w:eastAsia="仿宋" w:cs="Times New Roman"/>
                <w:spacing w:val="-5"/>
                <w:sz w:val="24"/>
                <w:szCs w:val="24"/>
                <w:highlight w:val="none"/>
                <w:lang w:val="en-US" w:eastAsia="zh-CN"/>
              </w:rPr>
              <w:t>一组人员调用堵漏工具根据情况实施堵漏或将剩余油品转入备用空桶；</w:t>
            </w:r>
          </w:p>
          <w:p w14:paraId="6B13E5C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left"/>
              <w:textAlignment w:val="baseline"/>
              <w:rPr>
                <w:rFonts w:hint="eastAsia" w:ascii="Times New Roman" w:hAnsi="Times New Roman" w:eastAsia="仿宋" w:cs="Times New Roman"/>
                <w:spacing w:val="-5"/>
                <w:sz w:val="24"/>
                <w:szCs w:val="24"/>
                <w:highlight w:val="none"/>
                <w:lang w:val="en-US" w:eastAsia="en-US"/>
              </w:rPr>
            </w:pPr>
            <w:r>
              <w:rPr>
                <w:rFonts w:hint="default" w:ascii="Times New Roman" w:hAnsi="Times New Roman" w:eastAsia="仿宋" w:cs="Times New Roman"/>
                <w:spacing w:val="-5"/>
                <w:sz w:val="24"/>
                <w:szCs w:val="24"/>
                <w:highlight w:val="none"/>
                <w:lang w:val="en-US" w:eastAsia="zh-CN"/>
              </w:rPr>
              <w:t>②</w:t>
            </w:r>
            <w:r>
              <w:rPr>
                <w:rFonts w:hint="eastAsia" w:ascii="Times New Roman" w:hAnsi="Times New Roman" w:eastAsia="仿宋" w:cs="Times New Roman"/>
                <w:spacing w:val="-5"/>
                <w:sz w:val="24"/>
                <w:szCs w:val="24"/>
                <w:highlight w:val="none"/>
                <w:lang w:val="en-US" w:eastAsia="zh-CN"/>
              </w:rPr>
              <w:t>另一组人员采用吸附材料将泄漏物质吸干或擦除，然后将废吸收材料置于密闭容器内。</w:t>
            </w:r>
          </w:p>
        </w:tc>
        <w:tc>
          <w:tcPr>
            <w:tcW w:w="1325" w:type="dxa"/>
            <w:vAlign w:val="center"/>
          </w:tcPr>
          <w:p w14:paraId="08BE7BF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收集容器、防漏托盘、砂土等</w:t>
            </w:r>
          </w:p>
        </w:tc>
        <w:tc>
          <w:tcPr>
            <w:tcW w:w="1714" w:type="dxa"/>
            <w:vAlign w:val="center"/>
          </w:tcPr>
          <w:p w14:paraId="6D8EB7A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5"/>
                <w:sz w:val="24"/>
                <w:szCs w:val="24"/>
                <w:highlight w:val="none"/>
                <w:lang w:val="en-US" w:eastAsia="zh-CN"/>
              </w:rPr>
            </w:pPr>
            <w:r>
              <w:rPr>
                <w:rFonts w:hint="eastAsia" w:ascii="Times New Roman" w:hAnsi="Times New Roman" w:eastAsia="仿宋" w:cs="Times New Roman"/>
                <w:spacing w:val="-5"/>
                <w:sz w:val="24"/>
                <w:szCs w:val="24"/>
                <w:highlight w:val="none"/>
                <w:lang w:val="en-US" w:eastAsia="zh-CN"/>
              </w:rPr>
              <w:t>在现场负责人指挥下投入现场应急处置，无关人员撤离</w:t>
            </w:r>
          </w:p>
        </w:tc>
      </w:tr>
    </w:tbl>
    <w:p w14:paraId="3E61F2F4">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55" w:name="_Toc28315"/>
      <w:r>
        <w:rPr>
          <w:rFonts w:hint="eastAsia" w:ascii="Times New Roman" w:hAnsi="Times New Roman" w:eastAsia="仿宋" w:cs="Times New Roman"/>
          <w:snapToGrid/>
          <w:sz w:val="30"/>
          <w:szCs w:val="30"/>
          <w:highlight w:val="none"/>
          <w:lang w:eastAsia="zh-CN"/>
        </w:rPr>
        <w:t>应急终止</w:t>
      </w:r>
      <w:bookmarkEnd w:id="55"/>
    </w:p>
    <w:p w14:paraId="4DDB3D8F">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56" w:name="_Toc10948"/>
      <w:r>
        <w:rPr>
          <w:rFonts w:hint="eastAsia" w:ascii="Times New Roman" w:hAnsi="Times New Roman" w:eastAsia="仿宋" w:cs="Times New Roman"/>
          <w:sz w:val="30"/>
          <w:szCs w:val="30"/>
          <w:lang w:eastAsia="zh-CN"/>
        </w:rPr>
        <w:t>终止条件</w:t>
      </w:r>
      <w:bookmarkEnd w:id="56"/>
    </w:p>
    <w:p w14:paraId="5364587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符合下列条件之一的，即满足应急终止条件：</w:t>
      </w:r>
    </w:p>
    <w:p w14:paraId="32A8010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（1）事件现场得到控制，事件条件已经消除；</w:t>
      </w:r>
    </w:p>
    <w:p w14:paraId="38CAED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（2）事件所造成的危害已经被彻底消除，无继发可能；</w:t>
      </w:r>
    </w:p>
    <w:p w14:paraId="1DF88D3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（3）事件现场的各种应急处置行动已无继续的必要；</w:t>
      </w:r>
    </w:p>
    <w:p w14:paraId="1E4E6F6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（4）采取了必要的防护措施以保护公众免受再次危害，并使事件可能引起的中长期影响趋于合理且尽量低的水平。</w:t>
      </w:r>
    </w:p>
    <w:p w14:paraId="17DC05D2">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57" w:name="_Toc30129"/>
      <w:r>
        <w:rPr>
          <w:rFonts w:hint="eastAsia" w:ascii="Times New Roman" w:hAnsi="Times New Roman" w:eastAsia="仿宋" w:cs="Times New Roman"/>
          <w:sz w:val="30"/>
          <w:szCs w:val="30"/>
          <w:lang w:eastAsia="zh-CN"/>
        </w:rPr>
        <w:t>应急终止的程序</w:t>
      </w:r>
      <w:bookmarkEnd w:id="57"/>
    </w:p>
    <w:p w14:paraId="1915E75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（1）现场应急指挥部确认终止时机；</w:t>
      </w:r>
    </w:p>
    <w:p w14:paraId="7D0A2C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（2）现场应急指挥部向所属各应急处置队伍下达应急终止命令；</w:t>
      </w:r>
    </w:p>
    <w:p w14:paraId="166168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（3）应急状态终止后，应根据有关指示和实际情况，继续进行环境监测和评价工作。</w:t>
      </w:r>
    </w:p>
    <w:p w14:paraId="1B80FC57">
      <w:pPr>
        <w:pStyle w:val="4"/>
        <w:keepNext w:val="0"/>
        <w:keepLines w:val="0"/>
        <w:pageBreakBefore w:val="0"/>
        <w:widowControl w:val="0"/>
        <w:kinsoku w:val="0"/>
        <w:wordWrap/>
        <w:overflowPunct/>
        <w:topLinePunct w:val="0"/>
        <w:autoSpaceDE w:val="0"/>
        <w:autoSpaceDN w:val="0"/>
        <w:bidi w:val="0"/>
        <w:adjustRightInd w:val="0"/>
        <w:snapToGrid w:val="0"/>
        <w:spacing w:before="0" w:after="0" w:line="360" w:lineRule="auto"/>
        <w:ind w:left="720" w:leftChars="0" w:hanging="720" w:firstLineChars="0"/>
        <w:textAlignment w:val="baseline"/>
        <w:rPr>
          <w:rFonts w:hint="eastAsia" w:ascii="Times New Roman" w:hAnsi="Times New Roman" w:eastAsia="仿宋" w:cs="Times New Roman"/>
          <w:sz w:val="30"/>
          <w:szCs w:val="30"/>
          <w:lang w:eastAsia="zh-CN"/>
        </w:rPr>
      </w:pPr>
      <w:bookmarkStart w:id="58" w:name="_Toc22045"/>
      <w:r>
        <w:rPr>
          <w:rFonts w:hint="eastAsia" w:ascii="Times New Roman" w:hAnsi="Times New Roman" w:eastAsia="仿宋" w:cs="Times New Roman"/>
          <w:sz w:val="30"/>
          <w:szCs w:val="30"/>
          <w:lang w:eastAsia="zh-CN"/>
        </w:rPr>
        <w:t>应急终止后的行动</w:t>
      </w:r>
      <w:bookmarkEnd w:id="58"/>
    </w:p>
    <w:p w14:paraId="6D183E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（1）突发性环境污染事故应急处理工作结束后，组织相关部门认真总结、分析、吸取事故教训，及时进行整改；</w:t>
      </w:r>
    </w:p>
    <w:p w14:paraId="04B0AD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（2）组织各应急处置队伍对应急计划和实施程序的有效性、应急装备的可行性、应急人员的素质和反应速度等做出评价，并提出对应急预案的修改意见。</w:t>
      </w:r>
    </w:p>
    <w:p w14:paraId="76BB9D1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（3）参加应急行动的部门负责组织、指导环境应急队伍维护、保养应急仪器设备，使之始终保持良好的技术状态。</w:t>
      </w:r>
    </w:p>
    <w:p w14:paraId="09E07E3A">
      <w:pPr>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br w:type="page"/>
      </w:r>
    </w:p>
    <w:p w14:paraId="3A6FEEF1">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59" w:name="_Toc29419"/>
      <w:r>
        <w:rPr>
          <w:rFonts w:hint="eastAsia" w:ascii="Times New Roman" w:hAnsi="Times New Roman" w:eastAsia="仿宋" w:cs="Times New Roman"/>
          <w:snapToGrid/>
          <w:highlight w:val="none"/>
          <w:lang w:eastAsia="zh-CN"/>
        </w:rPr>
        <w:t>后期处置</w:t>
      </w:r>
      <w:bookmarkEnd w:id="59"/>
    </w:p>
    <w:p w14:paraId="2ACA2ADF">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0" w:name="_Toc7484"/>
      <w:r>
        <w:rPr>
          <w:rFonts w:hint="eastAsia" w:ascii="Times New Roman" w:hAnsi="Times New Roman" w:eastAsia="仿宋" w:cs="Times New Roman"/>
          <w:snapToGrid/>
          <w:sz w:val="30"/>
          <w:szCs w:val="30"/>
          <w:highlight w:val="none"/>
          <w:lang w:eastAsia="zh-CN"/>
        </w:rPr>
        <w:t>现场清洁</w:t>
      </w:r>
      <w:bookmarkEnd w:id="60"/>
    </w:p>
    <w:p w14:paraId="0932DB8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◆现场保护</w:t>
      </w:r>
    </w:p>
    <w:p w14:paraId="0A09936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需要启动公司级响应的事故发生后，应急处置队伍在迅速展开抢险救援的同时，由疏散引导组负责对事故现场进行严格保护，防止与事故有关的残骸、物品等被挪动，需要移动现场物件的，应作出标记，绘制现场简图并写出书面记录，妥善保存现场重要的痕迹、物证。</w:t>
      </w:r>
    </w:p>
    <w:p w14:paraId="178FC13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◆现场处置</w:t>
      </w:r>
    </w:p>
    <w:p w14:paraId="0270D8F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事故应急结束后，环境应急组和现场抢险组对现场进行清洗、消毒，地面清洗产生的废水采用消防沙袋等临时围挡。联系有资质单位对事故废水进行检测，若满足立中污水处理站排放标准，将事故废水引入污水系统经污水总排口排放，若不能满足排放标准，则使用专用容器收集，委托有处理能力的单位外运处理。</w:t>
      </w:r>
    </w:p>
    <w:p w14:paraId="08CD27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事故结束后，应急处置过程产生的废吸附材料作为危险废物交有资质单位处置。</w:t>
      </w:r>
    </w:p>
    <w:p w14:paraId="575B81B9">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1" w:name="_Toc11085"/>
      <w:r>
        <w:rPr>
          <w:rFonts w:hint="eastAsia" w:ascii="Times New Roman" w:hAnsi="Times New Roman" w:eastAsia="仿宋" w:cs="Times New Roman"/>
          <w:snapToGrid/>
          <w:sz w:val="30"/>
          <w:szCs w:val="30"/>
          <w:highlight w:val="none"/>
          <w:lang w:eastAsia="zh-CN"/>
        </w:rPr>
        <w:t>善后赔偿</w:t>
      </w:r>
      <w:bookmarkEnd w:id="61"/>
    </w:p>
    <w:p w14:paraId="45275D2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由企业负责人牵头成立调查评估组，协调事故的善后处置工作，负责接待和安抚伤亡职工家属，进行伤亡赔偿和其他善后事宜。</w:t>
      </w:r>
    </w:p>
    <w:p w14:paraId="30C68A1C">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62" w:name="_Toc27780"/>
      <w:r>
        <w:rPr>
          <w:rFonts w:hint="eastAsia" w:ascii="Times New Roman" w:hAnsi="Times New Roman" w:eastAsia="仿宋" w:cs="Times New Roman"/>
          <w:snapToGrid/>
          <w:highlight w:val="none"/>
          <w:lang w:eastAsia="zh-CN"/>
        </w:rPr>
        <w:t>保障措施</w:t>
      </w:r>
      <w:bookmarkEnd w:id="62"/>
    </w:p>
    <w:p w14:paraId="3FBBA72D">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3" w:name="_Toc28495"/>
      <w:r>
        <w:rPr>
          <w:rFonts w:hint="eastAsia" w:ascii="Times New Roman" w:hAnsi="Times New Roman" w:eastAsia="仿宋" w:cs="Times New Roman"/>
          <w:snapToGrid/>
          <w:sz w:val="30"/>
          <w:szCs w:val="30"/>
          <w:highlight w:val="none"/>
          <w:lang w:eastAsia="zh-CN"/>
        </w:rPr>
        <w:t>通信与信息保障</w:t>
      </w:r>
      <w:bookmarkEnd w:id="63"/>
    </w:p>
    <w:p w14:paraId="3FCA1C3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highlight w:val="none"/>
          <w:lang w:val="en-US" w:eastAsia="en-US"/>
        </w:rPr>
      </w:pPr>
      <w:r>
        <w:rPr>
          <w:rFonts w:hint="eastAsia" w:ascii="Times New Roman" w:hAnsi="Times New Roman" w:eastAsia="仿宋" w:cs="Times New Roman"/>
          <w:color w:val="auto"/>
          <w:spacing w:val="0"/>
          <w:w w:val="100"/>
          <w:sz w:val="28"/>
          <w:szCs w:val="28"/>
          <w:lang w:val="en-US" w:eastAsia="en-US"/>
        </w:rPr>
        <w:t>值班室承担白天、夜间及节假日应急值班，保证24小时接警的畅通</w:t>
      </w:r>
      <w:r>
        <w:rPr>
          <w:rFonts w:hint="eastAsia" w:ascii="Times New Roman" w:hAnsi="Times New Roman" w:eastAsia="仿宋" w:cs="Times New Roman"/>
          <w:color w:val="auto"/>
          <w:spacing w:val="0"/>
          <w:w w:val="100"/>
          <w:sz w:val="28"/>
          <w:szCs w:val="28"/>
          <w:highlight w:val="none"/>
          <w:lang w:val="en-US" w:eastAsia="en-US"/>
        </w:rPr>
        <w:t>，值班电话为</w:t>
      </w:r>
      <w:r>
        <w:rPr>
          <w:rFonts w:hint="eastAsia" w:ascii="Times New Roman" w:hAnsi="Times New Roman" w:eastAsia="仿宋" w:cs="Times New Roman"/>
          <w:color w:val="auto"/>
          <w:spacing w:val="0"/>
          <w:w w:val="100"/>
          <w:sz w:val="28"/>
          <w:szCs w:val="28"/>
          <w:highlight w:val="none"/>
          <w:lang w:val="en-US" w:eastAsia="zh-CN"/>
        </w:rPr>
        <w:t>022-59889802</w:t>
      </w:r>
      <w:r>
        <w:rPr>
          <w:rFonts w:hint="eastAsia" w:ascii="Times New Roman" w:hAnsi="Times New Roman" w:eastAsia="仿宋" w:cs="Times New Roman"/>
          <w:color w:val="auto"/>
          <w:spacing w:val="0"/>
          <w:w w:val="100"/>
          <w:sz w:val="28"/>
          <w:szCs w:val="28"/>
          <w:highlight w:val="none"/>
          <w:lang w:val="en-US" w:eastAsia="en-US"/>
        </w:rPr>
        <w:t>。遇有环境事故发生，及时通知有关方面。</w:t>
      </w:r>
    </w:p>
    <w:p w14:paraId="31421534">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4" w:name="_Toc14730"/>
      <w:r>
        <w:rPr>
          <w:rFonts w:hint="eastAsia" w:ascii="Times New Roman" w:hAnsi="Times New Roman" w:eastAsia="仿宋" w:cs="Times New Roman"/>
          <w:snapToGrid/>
          <w:sz w:val="30"/>
          <w:szCs w:val="30"/>
          <w:highlight w:val="none"/>
          <w:lang w:eastAsia="zh-CN"/>
        </w:rPr>
        <w:t>应急队伍保障</w:t>
      </w:r>
      <w:bookmarkEnd w:id="64"/>
    </w:p>
    <w:p w14:paraId="06F2565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公司依据自身条件和可能发生的突发环境事件的类型建立应急处置队伍，包括</w:t>
      </w:r>
      <w:r>
        <w:rPr>
          <w:rFonts w:hint="eastAsia" w:ascii="Times New Roman" w:hAnsi="Times New Roman" w:eastAsia="仿宋" w:cs="Times New Roman"/>
          <w:color w:val="auto"/>
          <w:spacing w:val="0"/>
          <w:w w:val="100"/>
          <w:sz w:val="28"/>
          <w:szCs w:val="28"/>
          <w:lang w:val="en-US" w:eastAsia="zh-CN"/>
        </w:rPr>
        <w:t>抢险救援组、通讯联络组、警戒疏散组、医疗救护组和物资保障组</w:t>
      </w:r>
      <w:r>
        <w:rPr>
          <w:rFonts w:hint="eastAsia" w:ascii="Times New Roman" w:hAnsi="Times New Roman" w:eastAsia="仿宋" w:cs="Times New Roman"/>
          <w:color w:val="auto"/>
          <w:spacing w:val="0"/>
          <w:w w:val="100"/>
          <w:sz w:val="28"/>
          <w:szCs w:val="28"/>
          <w:lang w:val="en-US" w:eastAsia="en-US"/>
        </w:rPr>
        <w:t>等专业处置队伍。应急队伍应随时保持人员充足，如有调动或辞职等应尽快补充人选。</w:t>
      </w:r>
    </w:p>
    <w:p w14:paraId="556DBC6D">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5" w:name="bookmark44"/>
      <w:bookmarkEnd w:id="65"/>
      <w:bookmarkStart w:id="66" w:name="_Toc12592"/>
      <w:r>
        <w:rPr>
          <w:rFonts w:hint="eastAsia" w:ascii="Times New Roman" w:hAnsi="Times New Roman" w:eastAsia="仿宋" w:cs="Times New Roman"/>
          <w:snapToGrid/>
          <w:sz w:val="30"/>
          <w:szCs w:val="30"/>
          <w:highlight w:val="none"/>
          <w:lang w:eastAsia="zh-CN"/>
        </w:rPr>
        <w:t>应急物资装备保障</w:t>
      </w:r>
      <w:bookmarkEnd w:id="66"/>
    </w:p>
    <w:p w14:paraId="06A98AE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建立应急救援设备、设施、防护器材、救治药品和医疗器械等储备制度，储备必要的应急物资和装备。应急物资和装备由专人负责保管，以备紧急情况下迅速调动、及时运抵事故现场。EHS部门每半年对应急物资进行检查，确保应急物资可用。其它各类应急设施应定期检查，确保各类应急设施都处于可用状态。</w:t>
      </w:r>
    </w:p>
    <w:p w14:paraId="17B2FC31">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7" w:name="_Toc7340"/>
      <w:r>
        <w:rPr>
          <w:rFonts w:hint="eastAsia" w:ascii="Times New Roman" w:hAnsi="Times New Roman" w:eastAsia="仿宋" w:cs="Times New Roman"/>
          <w:snapToGrid/>
          <w:sz w:val="30"/>
          <w:szCs w:val="30"/>
          <w:highlight w:val="none"/>
          <w:lang w:eastAsia="zh-CN"/>
        </w:rPr>
        <w:t>经费及其他保障</w:t>
      </w:r>
      <w:bookmarkEnd w:id="67"/>
    </w:p>
    <w:p w14:paraId="7BAF440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处置突发环境事故所需工作经费列入公司财政预算，由财务部门按照国家经费要求落实。主要包括体系建设、日常运行、专家队伍建设、救援演练、事故紧急救援装备等费用。</w:t>
      </w:r>
    </w:p>
    <w:p w14:paraId="782CBB3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各部门在发生事故时，要紧密配合、全力支持事故应急救援，在人力、技术和后勤等方面实行统一调度。同时，根据职责分工，积极开展演练、物资储备，为应急救援提供交通运输保障、治安保障、技术保障、医疗保障、后勤保障等。</w:t>
      </w:r>
    </w:p>
    <w:p w14:paraId="60B38B3D">
      <w:pPr>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br w:type="page"/>
      </w:r>
    </w:p>
    <w:p w14:paraId="3D0C6279">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68" w:name="_Toc8868"/>
      <w:r>
        <w:rPr>
          <w:rFonts w:hint="eastAsia" w:ascii="Times New Roman" w:hAnsi="Times New Roman" w:eastAsia="仿宋" w:cs="Times New Roman"/>
          <w:snapToGrid/>
          <w:highlight w:val="none"/>
          <w:lang w:eastAsia="zh-CN"/>
        </w:rPr>
        <w:t>应急培训与演练</w:t>
      </w:r>
      <w:bookmarkEnd w:id="68"/>
    </w:p>
    <w:p w14:paraId="61639616">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69" w:name="_Toc14441"/>
      <w:r>
        <w:rPr>
          <w:rFonts w:hint="eastAsia" w:ascii="Times New Roman" w:hAnsi="Times New Roman" w:eastAsia="仿宋" w:cs="Times New Roman"/>
          <w:snapToGrid/>
          <w:sz w:val="30"/>
          <w:szCs w:val="30"/>
          <w:highlight w:val="none"/>
          <w:lang w:eastAsia="zh-CN"/>
        </w:rPr>
        <w:t>应急培训</w:t>
      </w:r>
      <w:bookmarkEnd w:id="69"/>
    </w:p>
    <w:p w14:paraId="1784E9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应急处置队员定期参加专业应急处置培训，培训的内容包括应急处置工作开展的程序；不同级别响应的响应条件和应急动作；应急处置设备和防护装备的使用；现场应急处置的步骤；厂区内涉及有毒有害化学品的物化性质、危险性和应急处理措施等；</w:t>
      </w:r>
    </w:p>
    <w:p w14:paraId="60ADD0E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（2）本企业员工定期参加应急处置基本知识培训，培训的内容包括不同岗位可能发生事故的应急处置步骤；发现事故时的报告方式；不同级别响应的应急动作；安全撤离的方式和集合地点等。</w:t>
      </w:r>
    </w:p>
    <w:p w14:paraId="3EDAF9D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（3）向周围环境保护目标宣贯应急知识；</w:t>
      </w:r>
    </w:p>
    <w:p w14:paraId="57619E5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（4）每次培训完毕，应急指挥指定专门人员对应急培训内容、方式做好记录。</w:t>
      </w:r>
    </w:p>
    <w:p w14:paraId="0029A176">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70" w:name="_Toc15680"/>
      <w:r>
        <w:rPr>
          <w:rFonts w:hint="eastAsia" w:ascii="Times New Roman" w:hAnsi="Times New Roman" w:eastAsia="仿宋" w:cs="Times New Roman"/>
          <w:snapToGrid/>
          <w:sz w:val="30"/>
          <w:szCs w:val="30"/>
          <w:highlight w:val="none"/>
          <w:lang w:eastAsia="zh-CN"/>
        </w:rPr>
        <w:t>演练</w:t>
      </w:r>
      <w:bookmarkEnd w:id="70"/>
    </w:p>
    <w:p w14:paraId="21FE53C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每年年初制定本年度的演练和培训计划。按照计划组织相应的事故应急演练，以锻炼和提高在突发事故情况下的快速应急处置的能力，使应急人员更清晰地明确各自的职责和工作程序，提高协同作战的能力，检验应急设施的使用效果，保证应急处置工作的有效、迅速地开展。</w:t>
      </w:r>
    </w:p>
    <w:p w14:paraId="0C6616E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根据厂区可能发生的突发环境事故进行应急演练，从整个应急响应程序注重各环节的演练，具体包括以下内容：</w:t>
      </w:r>
    </w:p>
    <w:p w14:paraId="394F1E0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（1）</w:t>
      </w:r>
      <w:r>
        <w:rPr>
          <w:rFonts w:hint="eastAsia" w:ascii="Times New Roman" w:hAnsi="Times New Roman" w:eastAsia="仿宋" w:cs="Times New Roman"/>
          <w:color w:val="auto"/>
          <w:spacing w:val="0"/>
          <w:w w:val="100"/>
          <w:sz w:val="28"/>
          <w:szCs w:val="28"/>
          <w:lang w:val="en-US" w:eastAsia="en-US"/>
        </w:rPr>
        <w:t>预警和报警；</w:t>
      </w:r>
    </w:p>
    <w:p w14:paraId="124D945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（2）决策；</w:t>
      </w:r>
    </w:p>
    <w:p w14:paraId="708BC83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（3）指挥和控制；</w:t>
      </w:r>
    </w:p>
    <w:p w14:paraId="5E031A1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（4）人员疏散清点；</w:t>
      </w:r>
    </w:p>
    <w:p w14:paraId="2A359450">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（5）应急处置；</w:t>
      </w:r>
    </w:p>
    <w:p w14:paraId="77C845E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（6）应急救援预案终止。</w:t>
      </w:r>
    </w:p>
    <w:p w14:paraId="7953C24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演练前制定周密的演习计划与程序，检查演习所需的器材、工具，落实防护措施，对参加演习的人员进行培训。每一步骤均做记录，演练结束后及时归档。演练结束后，及时对演练的效果进行分析评估，解决演练中暴露的问题，并及时进行评审、总结。</w:t>
      </w:r>
    </w:p>
    <w:p w14:paraId="5AB7213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与此同时，EHS部门会在每年的安全月对工厂全体员工进行应急预案的培训，确保全体员工熟悉工厂的应急预案，在紧急情况下做出及时的响应。</w:t>
      </w:r>
    </w:p>
    <w:p w14:paraId="4DA3C1A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p>
    <w:p w14:paraId="20DA238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sectPr>
          <w:pgSz w:w="11906" w:h="16838"/>
          <w:pgMar w:top="1134" w:right="1134" w:bottom="1134" w:left="1134" w:header="567" w:footer="567" w:gutter="0"/>
          <w:pgNumType w:fmt="decimal"/>
          <w:cols w:space="720" w:num="1"/>
        </w:sectPr>
      </w:pPr>
    </w:p>
    <w:p w14:paraId="1F0322AC">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71" w:name="_Toc25780"/>
      <w:r>
        <w:rPr>
          <w:rFonts w:hint="eastAsia" w:ascii="Times New Roman" w:hAnsi="Times New Roman" w:eastAsia="仿宋" w:cs="Times New Roman"/>
          <w:snapToGrid/>
          <w:highlight w:val="none"/>
          <w:lang w:eastAsia="zh-CN"/>
        </w:rPr>
        <w:t>奖惩</w:t>
      </w:r>
      <w:bookmarkEnd w:id="71"/>
    </w:p>
    <w:p w14:paraId="416AFF2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在环境</w:t>
      </w:r>
      <w:r>
        <w:rPr>
          <w:rFonts w:hint="eastAsia" w:ascii="Times New Roman" w:hAnsi="Times New Roman" w:eastAsia="仿宋" w:cs="Times New Roman"/>
          <w:color w:val="auto"/>
          <w:spacing w:val="0"/>
          <w:w w:val="100"/>
          <w:sz w:val="28"/>
          <w:szCs w:val="28"/>
          <w:lang w:val="en-US" w:eastAsia="en-US"/>
        </w:rPr>
        <w:t>突发事件应急救援工作中有下列表现之一的单位和个人，根据有关规定给予奖励：</w:t>
      </w:r>
    </w:p>
    <w:p w14:paraId="50EA681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（1）出色完成应急处置任务，有效地防止重大损失发生的；</w:t>
      </w:r>
    </w:p>
    <w:p w14:paraId="66DCCA0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（2）抢险、救灾和排险工作中有突出贡献的；</w:t>
      </w:r>
    </w:p>
    <w:p w14:paraId="5F7DCE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（3）对应急救援工作提出重大建议，实施效果显著的；</w:t>
      </w:r>
    </w:p>
    <w:p w14:paraId="52BCE07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（4）有其他特殊贡献的。</w:t>
      </w:r>
    </w:p>
    <w:p w14:paraId="6CDC1A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在环境突发事件应急救援工作中有下列行为之一的，根据相关规定追究责任及相关纪律处分：</w:t>
      </w:r>
    </w:p>
    <w:p w14:paraId="2D4EA3C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（1）</w:t>
      </w:r>
      <w:r>
        <w:rPr>
          <w:rFonts w:hint="eastAsia" w:ascii="Times New Roman" w:hAnsi="Times New Roman" w:eastAsia="仿宋" w:cs="Times New Roman"/>
          <w:color w:val="auto"/>
          <w:spacing w:val="0"/>
          <w:w w:val="100"/>
          <w:sz w:val="28"/>
          <w:szCs w:val="28"/>
          <w:lang w:val="en-US" w:eastAsia="en-US"/>
        </w:rPr>
        <w:t>不认真执行应急预案，拒绝履行应急救援义务，从而造成事故及损失扩大，后果严重的；</w:t>
      </w:r>
    </w:p>
    <w:p w14:paraId="1340D95E">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（2）</w:t>
      </w:r>
      <w:r>
        <w:rPr>
          <w:rFonts w:hint="eastAsia" w:ascii="Times New Roman" w:hAnsi="Times New Roman" w:eastAsia="仿宋" w:cs="Times New Roman"/>
          <w:color w:val="auto"/>
          <w:spacing w:val="0"/>
          <w:w w:val="100"/>
          <w:sz w:val="28"/>
          <w:szCs w:val="28"/>
          <w:lang w:val="en-US" w:eastAsia="en-US"/>
        </w:rPr>
        <w:t>不按照规定报告、通报事故真实情况的；</w:t>
      </w:r>
    </w:p>
    <w:p w14:paraId="6472A0E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（3）</w:t>
      </w:r>
      <w:r>
        <w:rPr>
          <w:rFonts w:hint="eastAsia" w:ascii="Times New Roman" w:hAnsi="Times New Roman" w:eastAsia="仿宋" w:cs="Times New Roman"/>
          <w:color w:val="auto"/>
          <w:spacing w:val="0"/>
          <w:w w:val="100"/>
          <w:sz w:val="28"/>
          <w:szCs w:val="28"/>
          <w:lang w:val="en-US" w:eastAsia="en-US"/>
        </w:rPr>
        <w:t>应急状态下不服从命令和指挥，严重干扰和影响应急工作的；</w:t>
      </w:r>
    </w:p>
    <w:p w14:paraId="530D894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（4）</w:t>
      </w:r>
      <w:r>
        <w:rPr>
          <w:rFonts w:hint="eastAsia" w:ascii="Times New Roman" w:hAnsi="Times New Roman" w:eastAsia="仿宋" w:cs="Times New Roman"/>
          <w:color w:val="auto"/>
          <w:spacing w:val="0"/>
          <w:w w:val="100"/>
          <w:sz w:val="28"/>
          <w:szCs w:val="28"/>
          <w:lang w:val="en-US" w:eastAsia="en-US"/>
        </w:rPr>
        <w:t>盗窃、挪用、贪污应急救援工作资金或物资的；</w:t>
      </w:r>
    </w:p>
    <w:p w14:paraId="2AA68F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（5）</w:t>
      </w:r>
      <w:r>
        <w:rPr>
          <w:rFonts w:hint="eastAsia" w:ascii="Times New Roman" w:hAnsi="Times New Roman" w:eastAsia="仿宋" w:cs="Times New Roman"/>
          <w:color w:val="auto"/>
          <w:spacing w:val="0"/>
          <w:w w:val="100"/>
          <w:sz w:val="28"/>
          <w:szCs w:val="28"/>
          <w:lang w:val="en-US" w:eastAsia="en-US"/>
        </w:rPr>
        <w:t>阻碍应急工作人员履行职责，情节及后果严重的；</w:t>
      </w:r>
    </w:p>
    <w:p w14:paraId="584C70B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zh-CN"/>
        </w:rPr>
        <w:t>（6）</w:t>
      </w:r>
      <w:r>
        <w:rPr>
          <w:rFonts w:hint="eastAsia" w:ascii="Times New Roman" w:hAnsi="Times New Roman" w:eastAsia="仿宋" w:cs="Times New Roman"/>
          <w:color w:val="auto"/>
          <w:spacing w:val="0"/>
          <w:w w:val="100"/>
          <w:sz w:val="28"/>
          <w:szCs w:val="28"/>
          <w:lang w:val="en-US" w:eastAsia="en-US"/>
        </w:rPr>
        <w:t>严重影响事故应急救援工作实施的其他行为。</w:t>
      </w:r>
    </w:p>
    <w:p w14:paraId="7D40812C">
      <w:pPr>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br w:type="page"/>
      </w:r>
    </w:p>
    <w:p w14:paraId="7D5CB0BA">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72" w:name="_Toc29468"/>
      <w:r>
        <w:rPr>
          <w:rFonts w:hint="eastAsia" w:ascii="Times New Roman" w:hAnsi="Times New Roman" w:eastAsia="仿宋" w:cs="Times New Roman"/>
          <w:snapToGrid/>
          <w:highlight w:val="none"/>
          <w:lang w:eastAsia="zh-CN"/>
        </w:rPr>
        <w:t>预案的评审、发布和更新</w:t>
      </w:r>
      <w:bookmarkEnd w:id="72"/>
    </w:p>
    <w:p w14:paraId="082DEB6C">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73" w:name="_Toc1421"/>
      <w:r>
        <w:rPr>
          <w:rFonts w:hint="eastAsia" w:ascii="Times New Roman" w:hAnsi="Times New Roman" w:eastAsia="仿宋" w:cs="Times New Roman"/>
          <w:snapToGrid/>
          <w:sz w:val="30"/>
          <w:szCs w:val="30"/>
          <w:highlight w:val="none"/>
          <w:lang w:eastAsia="zh-CN"/>
        </w:rPr>
        <w:t>预案的评审</w:t>
      </w:r>
      <w:bookmarkEnd w:id="73"/>
    </w:p>
    <w:p w14:paraId="5482469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内部评审：应急预案草案编制完成后，应急总指挥或应急副总指挥组织各应急处置队伍成员、员工代表对应急预案草案进行内部评审，针对应急保障措施的可行性、应急分工是否明确、合理等方面进行讨论，对不合理的地方进行修改。</w:t>
      </w:r>
    </w:p>
    <w:p w14:paraId="446CE65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外部评审：应急预案草案经内部评审后，先以座谈会的形式邀请可能受影响的企业代表对环境应急预案进行评审，向参会人员介绍厂区环境风险情况以及采取的风险防范和应急措施情况，征求参会人员的意见；之后邀请环境应急专家组成应急预案评估小组对应急预案草案进行评估。环境应急预案评估小组重点评估了环境应急预案的实用性、基本要素的完整性、内容格式的规范性、应急保障措施的可行性以及与其他相关预案的衔接性等内容。应急预案编制人员根据评估结果，对应急预案草案进行修改。</w:t>
      </w:r>
    </w:p>
    <w:p w14:paraId="41521D60">
      <w:pPr>
        <w:pStyle w:val="3"/>
        <w:keepNext w:val="0"/>
        <w:keepLines w:val="0"/>
        <w:pageBreakBefore w:val="0"/>
        <w:widowControl w:val="0"/>
        <w:numPr>
          <w:ilvl w:val="1"/>
          <w:numId w:val="1"/>
        </w:numPr>
        <w:kinsoku/>
        <w:wordWrap/>
        <w:overflowPunct/>
        <w:topLinePunct w:val="0"/>
        <w:autoSpaceDE/>
        <w:autoSpaceDN/>
        <w:bidi w:val="0"/>
        <w:adjustRightInd/>
        <w:snapToGrid/>
        <w:spacing w:before="0" w:after="0" w:line="360" w:lineRule="auto"/>
        <w:ind w:left="573" w:leftChars="0" w:hanging="573" w:firstLineChars="0"/>
        <w:jc w:val="both"/>
        <w:textAlignment w:val="auto"/>
        <w:outlineLvl w:val="1"/>
        <w:rPr>
          <w:rFonts w:hint="eastAsia" w:ascii="Times New Roman" w:hAnsi="Times New Roman" w:eastAsia="仿宋" w:cs="Times New Roman"/>
          <w:snapToGrid/>
          <w:sz w:val="30"/>
          <w:szCs w:val="30"/>
          <w:highlight w:val="none"/>
          <w:lang w:eastAsia="zh-CN"/>
        </w:rPr>
      </w:pPr>
      <w:bookmarkStart w:id="74" w:name="_Toc29037"/>
      <w:r>
        <w:rPr>
          <w:rFonts w:hint="eastAsia" w:ascii="Times New Roman" w:hAnsi="Times New Roman" w:eastAsia="仿宋" w:cs="Times New Roman"/>
          <w:snapToGrid/>
          <w:sz w:val="30"/>
          <w:szCs w:val="30"/>
          <w:highlight w:val="none"/>
          <w:lang w:eastAsia="zh-CN"/>
        </w:rPr>
        <w:t>预案的发布及更新</w:t>
      </w:r>
      <w:bookmarkEnd w:id="74"/>
    </w:p>
    <w:p w14:paraId="7C3F872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本预案自发布之日起实施生效，全体员工应接受本预案的相应培训。公司EHS部门负责本预案的管理工作，公司启动应急救援预案或进行演练后，该部门负责对救援情况和演练效果进行评价，提出修订意见，经公司总经理批准后及时修订本预案。</w:t>
      </w:r>
    </w:p>
    <w:p w14:paraId="5004DB8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公司结合环境应急预案的实施情况，至少每三年对环境应急预案进行一次回顾性评估，有下列情形之一的，及时修订：</w:t>
      </w:r>
    </w:p>
    <w:p w14:paraId="062F057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（一）面临的环境风险发生重大变化，需要重新进行环境风险评估的；</w:t>
      </w:r>
    </w:p>
    <w:p w14:paraId="1705913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（二）应急管理组织指挥体系与职责发生重大变化的；</w:t>
      </w:r>
    </w:p>
    <w:p w14:paraId="1B10DD1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（三）环境应急监测预警及报告机制、应对流程和措施、应急保障措施发生重大变化的；</w:t>
      </w:r>
    </w:p>
    <w:p w14:paraId="6F56ED5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（四）重要应急资源发生重大变化的；</w:t>
      </w:r>
    </w:p>
    <w:p w14:paraId="1B350AFD">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（五）在突发事件时及应对和应急演练中发现问题，需要对环境应急预案作出重大调整的；</w:t>
      </w:r>
    </w:p>
    <w:p w14:paraId="334286E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（六）其他需要修订的情况。</w:t>
      </w:r>
    </w:p>
    <w:p w14:paraId="41C655B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企业环境应急预案有重大修订的，应当在发布之日起20个工作日内向原受理部门变更备案。</w:t>
      </w:r>
    </w:p>
    <w:p w14:paraId="313D2136">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75" w:name="_Toc28579"/>
      <w:r>
        <w:rPr>
          <w:rFonts w:hint="eastAsia" w:ascii="Times New Roman" w:hAnsi="Times New Roman" w:eastAsia="仿宋" w:cs="Times New Roman"/>
          <w:snapToGrid/>
          <w:highlight w:val="none"/>
          <w:lang w:eastAsia="zh-CN"/>
        </w:rPr>
        <w:t>预案实施和生效日期</w:t>
      </w:r>
      <w:bookmarkEnd w:id="75"/>
    </w:p>
    <w:p w14:paraId="4F5F43C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本预案自印发之日起生效、实施。</w:t>
      </w:r>
    </w:p>
    <w:p w14:paraId="1FA3DC06">
      <w:pPr>
        <w:pStyle w:val="2"/>
        <w:keepLines w:val="0"/>
        <w:pageBreakBefore w:val="0"/>
        <w:widowControl w:val="0"/>
        <w:kinsoku/>
        <w:wordWrap/>
        <w:overflowPunct/>
        <w:topLinePunct w:val="0"/>
        <w:autoSpaceDE/>
        <w:autoSpaceDN/>
        <w:bidi w:val="0"/>
        <w:adjustRightInd/>
        <w:snapToGrid/>
        <w:spacing w:line="360" w:lineRule="auto"/>
        <w:jc w:val="both"/>
        <w:textAlignment w:val="auto"/>
        <w:rPr>
          <w:rFonts w:hint="eastAsia" w:ascii="Times New Roman" w:hAnsi="Times New Roman" w:eastAsia="仿宋" w:cs="Times New Roman"/>
          <w:snapToGrid/>
          <w:highlight w:val="none"/>
          <w:lang w:eastAsia="zh-CN"/>
        </w:rPr>
      </w:pPr>
      <w:bookmarkStart w:id="76" w:name="_Toc27957"/>
      <w:r>
        <w:rPr>
          <w:rFonts w:hint="eastAsia" w:ascii="Times New Roman" w:hAnsi="Times New Roman" w:eastAsia="仿宋" w:cs="Times New Roman"/>
          <w:snapToGrid/>
          <w:highlight w:val="none"/>
          <w:lang w:eastAsia="zh-CN"/>
        </w:rPr>
        <w:t>附件</w:t>
      </w:r>
      <w:bookmarkEnd w:id="76"/>
    </w:p>
    <w:p w14:paraId="66C1C34F">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附图 1 厂区地理位置图</w:t>
      </w:r>
    </w:p>
    <w:p w14:paraId="10A508A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附件 1 应急组织机构组成及有关人员联系电话</w:t>
      </w:r>
    </w:p>
    <w:p w14:paraId="4E0A5D0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附件 2 外部单位及政府有关部门联系电话</w:t>
      </w:r>
    </w:p>
    <w:p w14:paraId="6C8E950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附件 3 </w:t>
      </w:r>
      <w:r>
        <w:rPr>
          <w:rFonts w:hint="eastAsia" w:ascii="Times New Roman" w:hAnsi="Times New Roman" w:eastAsia="仿宋" w:cs="Times New Roman"/>
          <w:color w:val="auto"/>
          <w:spacing w:val="0"/>
          <w:w w:val="100"/>
          <w:sz w:val="28"/>
          <w:szCs w:val="28"/>
          <w:lang w:val="en-US" w:eastAsia="zh-CN"/>
        </w:rPr>
        <w:t>2023</w:t>
      </w:r>
      <w:r>
        <w:rPr>
          <w:rFonts w:hint="eastAsia" w:ascii="Times New Roman" w:hAnsi="Times New Roman" w:eastAsia="仿宋" w:cs="Times New Roman"/>
          <w:color w:val="auto"/>
          <w:spacing w:val="0"/>
          <w:w w:val="100"/>
          <w:sz w:val="28"/>
          <w:szCs w:val="28"/>
          <w:lang w:val="en-US" w:eastAsia="en-US"/>
        </w:rPr>
        <w:t>版应急预案备案表</w:t>
      </w:r>
    </w:p>
    <w:p w14:paraId="0CE8066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附件 4 公司历次环评手续履行情况</w:t>
      </w:r>
    </w:p>
    <w:p w14:paraId="31DC5ACC">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附件 5 危险废物处置协议</w:t>
      </w:r>
    </w:p>
    <w:p w14:paraId="7AEECAE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附件 6 天津立中轻合金锻造有限公司营业执照</w:t>
      </w:r>
    </w:p>
    <w:p w14:paraId="528D203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附件 </w:t>
      </w:r>
      <w:r>
        <w:rPr>
          <w:rFonts w:hint="eastAsia" w:ascii="Times New Roman" w:hAnsi="Times New Roman" w:eastAsia="仿宋" w:cs="Times New Roman"/>
          <w:color w:val="auto"/>
          <w:spacing w:val="0"/>
          <w:w w:val="100"/>
          <w:sz w:val="28"/>
          <w:szCs w:val="28"/>
          <w:lang w:val="en-US" w:eastAsia="zh-CN"/>
        </w:rPr>
        <w:t>7</w:t>
      </w:r>
      <w:r>
        <w:rPr>
          <w:rFonts w:hint="eastAsia" w:ascii="Times New Roman" w:hAnsi="Times New Roman" w:eastAsia="仿宋" w:cs="Times New Roman"/>
          <w:color w:val="auto"/>
          <w:spacing w:val="0"/>
          <w:w w:val="100"/>
          <w:sz w:val="28"/>
          <w:szCs w:val="28"/>
          <w:lang w:val="en-US" w:eastAsia="en-US"/>
        </w:rPr>
        <w:t xml:space="preserve"> 应急救援互助协议</w:t>
      </w:r>
    </w:p>
    <w:p w14:paraId="58F81C71">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t xml:space="preserve">附件 </w:t>
      </w:r>
      <w:r>
        <w:rPr>
          <w:rFonts w:hint="eastAsia" w:ascii="Times New Roman" w:hAnsi="Times New Roman" w:eastAsia="仿宋" w:cs="Times New Roman"/>
          <w:color w:val="auto"/>
          <w:spacing w:val="0"/>
          <w:w w:val="100"/>
          <w:sz w:val="28"/>
          <w:szCs w:val="28"/>
          <w:lang w:val="en-US" w:eastAsia="zh-CN"/>
        </w:rPr>
        <w:t>8</w:t>
      </w:r>
      <w:r>
        <w:rPr>
          <w:rFonts w:hint="eastAsia" w:ascii="Times New Roman" w:hAnsi="Times New Roman" w:eastAsia="仿宋" w:cs="Times New Roman"/>
          <w:color w:val="auto"/>
          <w:spacing w:val="0"/>
          <w:w w:val="100"/>
          <w:sz w:val="28"/>
          <w:szCs w:val="28"/>
          <w:lang w:val="en-US" w:eastAsia="en-US"/>
        </w:rPr>
        <w:t xml:space="preserve"> 应急监测协议书</w:t>
      </w:r>
    </w:p>
    <w:p w14:paraId="512B3EF5">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9"/>
        <w:rPr>
          <w:rFonts w:hint="eastAsia" w:ascii="Times New Roman" w:hAnsi="Times New Roman" w:eastAsia="仿宋" w:cs="Times New Roman"/>
          <w:color w:val="auto"/>
          <w:spacing w:val="0"/>
          <w:w w:val="100"/>
          <w:sz w:val="28"/>
          <w:szCs w:val="28"/>
          <w:lang w:val="en-US" w:eastAsia="en-US"/>
        </w:rPr>
      </w:pPr>
    </w:p>
    <w:p w14:paraId="413BDCD7">
      <w:pPr>
        <w:keepNext w:val="0"/>
        <w:keepLines w:val="0"/>
        <w:pageBreakBefore w:val="0"/>
        <w:widowControl w:val="0"/>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9"/>
        <w:rPr>
          <w:rFonts w:hint="eastAsia" w:ascii="Times New Roman" w:hAnsi="Times New Roman" w:eastAsia="仿宋" w:cs="Times New Roman"/>
          <w:color w:val="auto"/>
          <w:spacing w:val="0"/>
          <w:w w:val="100"/>
          <w:sz w:val="28"/>
          <w:szCs w:val="28"/>
          <w:lang w:val="en-US" w:eastAsia="en-US"/>
        </w:rPr>
      </w:pPr>
    </w:p>
    <w:p w14:paraId="67A319E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5"/>
        <w:rPr>
          <w:rFonts w:hint="eastAsia" w:ascii="Times New Roman" w:hAnsi="Times New Roman" w:eastAsia="仿宋" w:cs="Times New Roman"/>
          <w:color w:val="auto"/>
          <w:spacing w:val="0"/>
          <w:w w:val="100"/>
          <w:sz w:val="28"/>
          <w:szCs w:val="28"/>
          <w:lang w:val="en-US" w:eastAsia="en-US"/>
        </w:rPr>
        <w:sectPr>
          <w:pgSz w:w="11906" w:h="16838"/>
          <w:pgMar w:top="1134" w:right="1134" w:bottom="1134" w:left="1134" w:header="567" w:footer="567" w:gutter="0"/>
          <w:pgNumType w:fmt="decimal"/>
          <w:cols w:space="720" w:num="1"/>
        </w:sectPr>
      </w:pPr>
    </w:p>
    <w:p w14:paraId="57FD6EE4">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default" w:ascii="Times New Roman" w:hAnsi="Times New Roman" w:eastAsia="仿宋" w:cs="Times New Roman"/>
          <w:color w:val="auto"/>
          <w:spacing w:val="0"/>
          <w:w w:val="100"/>
          <w:sz w:val="28"/>
          <w:szCs w:val="28"/>
          <w:lang w:val="en-US" w:eastAsia="en-US"/>
        </w:rPr>
      </w:pPr>
      <w:bookmarkStart w:id="77" w:name="_Toc4815"/>
      <w:r>
        <w:rPr>
          <w:rFonts w:hint="default" w:ascii="Times New Roman" w:hAnsi="Times New Roman" w:eastAsia="仿宋" w:cs="Times New Roman"/>
          <w:color w:val="auto"/>
          <w:spacing w:val="0"/>
          <w:w w:val="100"/>
          <w:sz w:val="28"/>
          <w:szCs w:val="28"/>
          <w:lang w:val="en-US" w:eastAsia="en-US"/>
        </w:rPr>
        <w:t>附图 1 厂区地理位置图</w:t>
      </w:r>
      <w:bookmarkEnd w:id="77"/>
    </w:p>
    <w:p w14:paraId="3CBABE62">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lang w:val="en-US" w:eastAsia="zh-CN"/>
        </w:rPr>
      </w:pPr>
      <w:r>
        <w:rPr>
          <w:rFonts w:hint="eastAsia" w:ascii="Times New Roman" w:hAnsi="Times New Roman" w:eastAsia="仿宋" w:cs="Times New Roman"/>
          <w:color w:val="auto"/>
          <w:spacing w:val="0"/>
          <w:w w:val="100"/>
          <w:sz w:val="28"/>
          <w:szCs w:val="28"/>
          <w:lang w:val="en-US" w:eastAsia="zh-CN"/>
        </w:rPr>
        <w:drawing>
          <wp:inline distT="0" distB="0" distL="114300" distR="114300">
            <wp:extent cx="6108700" cy="7357745"/>
            <wp:effectExtent l="0" t="0" r="0" b="0"/>
            <wp:docPr id="110" name="图片 110" descr="1.2023年4月6日--天津立中轻合金锻造有限公司突发环境事件应急预案_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图片 110" descr="1.2023年4月6日--天津立中轻合金锻造有限公司突发环境事件应急预案_53"/>
                    <pic:cNvPicPr>
                      <a:picLocks noChangeAspect="1"/>
                    </pic:cNvPicPr>
                  </pic:nvPicPr>
                  <pic:blipFill>
                    <a:blip r:embed="rId23"/>
                    <a:srcRect t="3925" b="10908"/>
                    <a:stretch>
                      <a:fillRect/>
                    </a:stretch>
                  </pic:blipFill>
                  <pic:spPr>
                    <a:xfrm>
                      <a:off x="0" y="0"/>
                      <a:ext cx="6108700" cy="7357745"/>
                    </a:xfrm>
                    <a:prstGeom prst="rect">
                      <a:avLst/>
                    </a:prstGeom>
                  </pic:spPr>
                </pic:pic>
              </a:graphicData>
            </a:graphic>
          </wp:inline>
        </w:drawing>
      </w:r>
    </w:p>
    <w:p w14:paraId="36C8C077">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default" w:ascii="Times New Roman" w:hAnsi="Times New Roman" w:eastAsia="仿宋" w:cs="Times New Roman"/>
          <w:color w:val="auto"/>
          <w:spacing w:val="0"/>
          <w:w w:val="100"/>
          <w:sz w:val="28"/>
          <w:szCs w:val="28"/>
          <w:lang w:val="en-US" w:eastAsia="en-US"/>
        </w:rPr>
      </w:pPr>
    </w:p>
    <w:p w14:paraId="2A58E928">
      <w:pPr>
        <w:rPr>
          <w:rFonts w:hint="default" w:ascii="Times New Roman" w:hAnsi="Times New Roman" w:eastAsia="仿宋" w:cs="Times New Roman"/>
          <w:color w:val="auto"/>
          <w:spacing w:val="0"/>
          <w:w w:val="100"/>
          <w:sz w:val="28"/>
          <w:szCs w:val="28"/>
          <w:lang w:val="en-US" w:eastAsia="en-US"/>
        </w:rPr>
      </w:pPr>
      <w:r>
        <w:rPr>
          <w:rFonts w:hint="default" w:ascii="Times New Roman" w:hAnsi="Times New Roman" w:eastAsia="仿宋" w:cs="Times New Roman"/>
          <w:color w:val="auto"/>
          <w:spacing w:val="0"/>
          <w:w w:val="100"/>
          <w:sz w:val="28"/>
          <w:szCs w:val="28"/>
          <w:lang w:val="en-US" w:eastAsia="en-US"/>
        </w:rPr>
        <w:br w:type="page"/>
      </w:r>
    </w:p>
    <w:p w14:paraId="64626F8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78" w:name="_Toc29246"/>
      <w:r>
        <w:rPr>
          <w:rFonts w:hint="eastAsia" w:ascii="Times New Roman" w:hAnsi="Times New Roman" w:eastAsia="仿宋" w:cs="Times New Roman"/>
          <w:color w:val="auto"/>
          <w:spacing w:val="0"/>
          <w:w w:val="100"/>
          <w:sz w:val="28"/>
          <w:szCs w:val="28"/>
          <w:highlight w:val="none"/>
          <w:lang w:val="en-US" w:eastAsia="en-US"/>
        </w:rPr>
        <w:t>附件 1 应急组织机构组成及有关人员联系电话</w:t>
      </w:r>
      <w:bookmarkEnd w:id="78"/>
    </w:p>
    <w:tbl>
      <w:tblPr>
        <w:tblStyle w:val="1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41"/>
        <w:gridCol w:w="1742"/>
        <w:gridCol w:w="1742"/>
        <w:gridCol w:w="1742"/>
        <w:gridCol w:w="1742"/>
      </w:tblGrid>
      <w:tr w14:paraId="0E8CB4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Align w:val="center"/>
          </w:tcPr>
          <w:p w14:paraId="2E281E68">
            <w:pPr>
              <w:keepNext w:val="0"/>
              <w:keepLines w:val="0"/>
              <w:pageBreakBefore w:val="0"/>
              <w:widowControl w:val="0"/>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序号</w:t>
            </w:r>
          </w:p>
        </w:tc>
        <w:tc>
          <w:tcPr>
            <w:tcW w:w="1742" w:type="dxa"/>
            <w:vAlign w:val="center"/>
          </w:tcPr>
          <w:p w14:paraId="28EEDAAC">
            <w:pPr>
              <w:keepNext w:val="0"/>
              <w:keepLines w:val="0"/>
              <w:pageBreakBefore w:val="0"/>
              <w:widowControl w:val="0"/>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组别</w:t>
            </w:r>
          </w:p>
        </w:tc>
        <w:tc>
          <w:tcPr>
            <w:tcW w:w="1742" w:type="dxa"/>
            <w:vAlign w:val="center"/>
          </w:tcPr>
          <w:p w14:paraId="04C07CD4">
            <w:pPr>
              <w:keepNext w:val="0"/>
              <w:keepLines w:val="0"/>
              <w:pageBreakBefore w:val="0"/>
              <w:widowControl w:val="0"/>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职务</w:t>
            </w:r>
          </w:p>
        </w:tc>
        <w:tc>
          <w:tcPr>
            <w:tcW w:w="1742" w:type="dxa"/>
            <w:vAlign w:val="center"/>
          </w:tcPr>
          <w:p w14:paraId="76522E6F">
            <w:pPr>
              <w:keepNext w:val="0"/>
              <w:keepLines w:val="0"/>
              <w:pageBreakBefore w:val="0"/>
              <w:widowControl w:val="0"/>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姓名</w:t>
            </w:r>
          </w:p>
        </w:tc>
        <w:tc>
          <w:tcPr>
            <w:tcW w:w="1742" w:type="dxa"/>
            <w:vAlign w:val="center"/>
          </w:tcPr>
          <w:p w14:paraId="7554E46F">
            <w:pPr>
              <w:keepNext w:val="0"/>
              <w:keepLines w:val="0"/>
              <w:pageBreakBefore w:val="0"/>
              <w:widowControl w:val="0"/>
              <w:kinsoku w:val="0"/>
              <w:wordWrap/>
              <w:overflowPunct/>
              <w:topLinePunct w:val="0"/>
              <w:autoSpaceDE w:val="0"/>
              <w:autoSpaceDN w:val="0"/>
              <w:bidi w:val="0"/>
              <w:adjustRightInd w:val="0"/>
              <w:snapToGrid w:val="0"/>
              <w:spacing w:line="240" w:lineRule="auto"/>
              <w:ind w:right="0"/>
              <w:jc w:val="center"/>
              <w:textAlignment w:val="baseline"/>
              <w:outlineLvl w:val="3"/>
              <w:rPr>
                <w:rFonts w:hint="eastAsia" w:ascii="Times New Roman" w:hAnsi="Times New Roman" w:eastAsia="仿宋" w:cs="Times New Roman"/>
                <w:b w:val="0"/>
                <w:bCs w:val="0"/>
                <w:color w:val="auto"/>
                <w:spacing w:val="-7"/>
                <w:sz w:val="24"/>
                <w:szCs w:val="24"/>
                <w:vertAlign w:val="baseline"/>
                <w:lang w:val="en-US" w:eastAsia="zh-CN"/>
              </w:rPr>
            </w:pPr>
            <w:r>
              <w:rPr>
                <w:rFonts w:hint="eastAsia" w:ascii="Times New Roman" w:hAnsi="Times New Roman" w:eastAsia="仿宋" w:cs="Times New Roman"/>
                <w:b w:val="0"/>
                <w:bCs w:val="0"/>
                <w:color w:val="auto"/>
                <w:spacing w:val="-7"/>
                <w:sz w:val="24"/>
                <w:szCs w:val="24"/>
                <w:vertAlign w:val="baseline"/>
                <w:lang w:val="en-US" w:eastAsia="zh-CN"/>
              </w:rPr>
              <w:t>联系方式</w:t>
            </w:r>
          </w:p>
        </w:tc>
      </w:tr>
      <w:tr w14:paraId="5C9D67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41FDA7A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1</w:t>
            </w:r>
          </w:p>
        </w:tc>
        <w:tc>
          <w:tcPr>
            <w:tcW w:w="1742" w:type="dxa"/>
            <w:vMerge w:val="restart"/>
            <w:shd w:val="clear" w:color="auto" w:fill="auto"/>
            <w:vAlign w:val="center"/>
          </w:tcPr>
          <w:p w14:paraId="245A128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应急救援指挥部</w:t>
            </w:r>
          </w:p>
        </w:tc>
        <w:tc>
          <w:tcPr>
            <w:tcW w:w="1742" w:type="dxa"/>
            <w:shd w:val="clear" w:color="auto" w:fill="auto"/>
            <w:vAlign w:val="center"/>
          </w:tcPr>
          <w:p w14:paraId="710F71D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总指挥</w:t>
            </w:r>
          </w:p>
        </w:tc>
        <w:tc>
          <w:tcPr>
            <w:tcW w:w="1742" w:type="dxa"/>
            <w:vAlign w:val="center"/>
          </w:tcPr>
          <w:p w14:paraId="6F8D942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马青梅</w:t>
            </w:r>
          </w:p>
        </w:tc>
        <w:tc>
          <w:tcPr>
            <w:tcW w:w="1742" w:type="dxa"/>
            <w:vAlign w:val="center"/>
          </w:tcPr>
          <w:p w14:paraId="1D2A9D8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16629060080</w:t>
            </w:r>
          </w:p>
        </w:tc>
      </w:tr>
      <w:tr w14:paraId="577197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20E5FBF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shd w:val="clear" w:color="auto" w:fill="auto"/>
            <w:vAlign w:val="center"/>
          </w:tcPr>
          <w:p w14:paraId="1E92D62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p>
        </w:tc>
        <w:tc>
          <w:tcPr>
            <w:tcW w:w="1742" w:type="dxa"/>
            <w:shd w:val="clear" w:color="auto" w:fill="auto"/>
            <w:vAlign w:val="center"/>
          </w:tcPr>
          <w:p w14:paraId="64B3DC5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副总指挥</w:t>
            </w:r>
          </w:p>
        </w:tc>
        <w:tc>
          <w:tcPr>
            <w:tcW w:w="1742" w:type="dxa"/>
            <w:vAlign w:val="center"/>
          </w:tcPr>
          <w:p w14:paraId="15BFE91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杨海猛</w:t>
            </w:r>
          </w:p>
        </w:tc>
        <w:tc>
          <w:tcPr>
            <w:tcW w:w="1742" w:type="dxa"/>
            <w:vAlign w:val="center"/>
          </w:tcPr>
          <w:p w14:paraId="1781508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16629060061</w:t>
            </w:r>
          </w:p>
        </w:tc>
      </w:tr>
      <w:tr w14:paraId="6FAF3E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6D890AA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2</w:t>
            </w:r>
          </w:p>
        </w:tc>
        <w:tc>
          <w:tcPr>
            <w:tcW w:w="1742" w:type="dxa"/>
            <w:vMerge w:val="restart"/>
            <w:shd w:val="clear" w:color="auto" w:fill="auto"/>
            <w:vAlign w:val="center"/>
          </w:tcPr>
          <w:p w14:paraId="5979012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应急办公室</w:t>
            </w:r>
          </w:p>
        </w:tc>
        <w:tc>
          <w:tcPr>
            <w:tcW w:w="1742" w:type="dxa"/>
            <w:shd w:val="clear" w:color="auto" w:fill="auto"/>
            <w:vAlign w:val="center"/>
          </w:tcPr>
          <w:p w14:paraId="7BAC02C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主任</w:t>
            </w:r>
          </w:p>
        </w:tc>
        <w:tc>
          <w:tcPr>
            <w:tcW w:w="1742" w:type="dxa"/>
            <w:vAlign w:val="center"/>
          </w:tcPr>
          <w:p w14:paraId="0367546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鲁洁</w:t>
            </w:r>
          </w:p>
        </w:tc>
        <w:tc>
          <w:tcPr>
            <w:tcW w:w="1742" w:type="dxa"/>
            <w:vAlign w:val="center"/>
          </w:tcPr>
          <w:p w14:paraId="103833D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16629060058</w:t>
            </w:r>
          </w:p>
        </w:tc>
      </w:tr>
      <w:tr w14:paraId="77CE23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68393E7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shd w:val="clear" w:color="auto" w:fill="auto"/>
            <w:vAlign w:val="center"/>
          </w:tcPr>
          <w:p w14:paraId="4AAAA39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p>
        </w:tc>
        <w:tc>
          <w:tcPr>
            <w:tcW w:w="1742" w:type="dxa"/>
            <w:shd w:val="clear" w:color="auto" w:fill="auto"/>
            <w:vAlign w:val="center"/>
          </w:tcPr>
          <w:p w14:paraId="7F5DAF5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53868DC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王森</w:t>
            </w:r>
          </w:p>
        </w:tc>
        <w:tc>
          <w:tcPr>
            <w:tcW w:w="1742" w:type="dxa"/>
            <w:vAlign w:val="center"/>
          </w:tcPr>
          <w:p w14:paraId="7E798CF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16629060060</w:t>
            </w:r>
          </w:p>
        </w:tc>
      </w:tr>
      <w:tr w14:paraId="09A91E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3A3B032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3</w:t>
            </w:r>
          </w:p>
        </w:tc>
        <w:tc>
          <w:tcPr>
            <w:tcW w:w="1742" w:type="dxa"/>
            <w:vMerge w:val="restart"/>
            <w:vAlign w:val="center"/>
          </w:tcPr>
          <w:p w14:paraId="0124783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抢险救援组</w:t>
            </w:r>
          </w:p>
        </w:tc>
        <w:tc>
          <w:tcPr>
            <w:tcW w:w="1742" w:type="dxa"/>
            <w:vAlign w:val="center"/>
          </w:tcPr>
          <w:p w14:paraId="165D0F3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6BA74F7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杨海猛</w:t>
            </w:r>
          </w:p>
        </w:tc>
        <w:tc>
          <w:tcPr>
            <w:tcW w:w="1742" w:type="dxa"/>
            <w:vAlign w:val="center"/>
          </w:tcPr>
          <w:p w14:paraId="6A9967D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16629060061</w:t>
            </w:r>
          </w:p>
        </w:tc>
      </w:tr>
      <w:tr w14:paraId="04C777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6" w:hRule="exact"/>
          <w:jc w:val="center"/>
        </w:trPr>
        <w:tc>
          <w:tcPr>
            <w:tcW w:w="1741" w:type="dxa"/>
            <w:vMerge w:val="continue"/>
            <w:vAlign w:val="center"/>
          </w:tcPr>
          <w:p w14:paraId="17EB78B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30C6A96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24E2E74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6561750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丁浩</w:t>
            </w:r>
          </w:p>
        </w:tc>
        <w:tc>
          <w:tcPr>
            <w:tcW w:w="1742" w:type="dxa"/>
            <w:vAlign w:val="center"/>
          </w:tcPr>
          <w:p w14:paraId="5EA85AD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16629060067</w:t>
            </w:r>
          </w:p>
        </w:tc>
      </w:tr>
      <w:tr w14:paraId="4F539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0B3436F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1F61EA3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462D288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532E82D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魏龙江</w:t>
            </w:r>
          </w:p>
        </w:tc>
        <w:tc>
          <w:tcPr>
            <w:tcW w:w="1742" w:type="dxa"/>
            <w:vAlign w:val="center"/>
          </w:tcPr>
          <w:p w14:paraId="4CFCB28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16629060086</w:t>
            </w:r>
          </w:p>
        </w:tc>
      </w:tr>
      <w:tr w14:paraId="611FE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25E6CB5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2A2CB12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738D831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3302AED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孟繁会</w:t>
            </w:r>
          </w:p>
        </w:tc>
        <w:tc>
          <w:tcPr>
            <w:tcW w:w="1742" w:type="dxa"/>
            <w:vAlign w:val="center"/>
          </w:tcPr>
          <w:p w14:paraId="38E12DC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16629060089</w:t>
            </w:r>
          </w:p>
        </w:tc>
      </w:tr>
      <w:tr w14:paraId="00F0C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5A3BCBD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34947BB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248D046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1211752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王正</w:t>
            </w:r>
          </w:p>
        </w:tc>
        <w:tc>
          <w:tcPr>
            <w:tcW w:w="1742" w:type="dxa"/>
            <w:vAlign w:val="center"/>
          </w:tcPr>
          <w:p w14:paraId="6DA4142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15930030702</w:t>
            </w:r>
          </w:p>
        </w:tc>
      </w:tr>
      <w:tr w14:paraId="16C229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011C050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4</w:t>
            </w:r>
          </w:p>
        </w:tc>
        <w:tc>
          <w:tcPr>
            <w:tcW w:w="1742" w:type="dxa"/>
            <w:vMerge w:val="restart"/>
            <w:vAlign w:val="center"/>
          </w:tcPr>
          <w:p w14:paraId="0DD2075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通讯联络组</w:t>
            </w:r>
          </w:p>
        </w:tc>
        <w:tc>
          <w:tcPr>
            <w:tcW w:w="1742" w:type="dxa"/>
            <w:vAlign w:val="center"/>
          </w:tcPr>
          <w:p w14:paraId="3B6966C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18D791D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刘杰</w:t>
            </w:r>
          </w:p>
        </w:tc>
        <w:tc>
          <w:tcPr>
            <w:tcW w:w="1742" w:type="dxa"/>
            <w:vAlign w:val="center"/>
          </w:tcPr>
          <w:p w14:paraId="2F4D8CE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16629060081</w:t>
            </w:r>
          </w:p>
        </w:tc>
      </w:tr>
      <w:tr w14:paraId="7A9954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683E080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6782564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Align w:val="center"/>
          </w:tcPr>
          <w:p w14:paraId="2B2B861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371D953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常景普</w:t>
            </w:r>
          </w:p>
        </w:tc>
        <w:tc>
          <w:tcPr>
            <w:tcW w:w="1742" w:type="dxa"/>
            <w:vAlign w:val="center"/>
          </w:tcPr>
          <w:p w14:paraId="5BA51F1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15510947857</w:t>
            </w:r>
          </w:p>
        </w:tc>
      </w:tr>
      <w:tr w14:paraId="5C1F77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7B811A9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5</w:t>
            </w:r>
          </w:p>
        </w:tc>
        <w:tc>
          <w:tcPr>
            <w:tcW w:w="1742" w:type="dxa"/>
            <w:vMerge w:val="restart"/>
            <w:shd w:val="clear" w:color="auto" w:fill="auto"/>
            <w:vAlign w:val="center"/>
          </w:tcPr>
          <w:p w14:paraId="59AA333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警戒疏散组</w:t>
            </w:r>
          </w:p>
        </w:tc>
        <w:tc>
          <w:tcPr>
            <w:tcW w:w="1742" w:type="dxa"/>
            <w:shd w:val="clear" w:color="auto" w:fill="auto"/>
            <w:vAlign w:val="center"/>
          </w:tcPr>
          <w:p w14:paraId="4BB4980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6E3749F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王峰</w:t>
            </w:r>
          </w:p>
        </w:tc>
        <w:tc>
          <w:tcPr>
            <w:tcW w:w="1742" w:type="dxa"/>
            <w:vAlign w:val="center"/>
          </w:tcPr>
          <w:p w14:paraId="66D0988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16629060065</w:t>
            </w:r>
          </w:p>
        </w:tc>
      </w:tr>
      <w:tr w14:paraId="4C0BAF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60A6A82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shd w:val="clear" w:color="auto" w:fill="auto"/>
            <w:vAlign w:val="center"/>
          </w:tcPr>
          <w:p w14:paraId="1E08F53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en-US"/>
              </w:rPr>
            </w:pPr>
          </w:p>
        </w:tc>
        <w:tc>
          <w:tcPr>
            <w:tcW w:w="1742" w:type="dxa"/>
            <w:shd w:val="clear" w:color="auto" w:fill="auto"/>
            <w:vAlign w:val="center"/>
          </w:tcPr>
          <w:p w14:paraId="661243C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0C87C2A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郭志伟</w:t>
            </w:r>
          </w:p>
        </w:tc>
        <w:tc>
          <w:tcPr>
            <w:tcW w:w="1742" w:type="dxa"/>
            <w:vAlign w:val="center"/>
          </w:tcPr>
          <w:p w14:paraId="0C7C7FA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16629060052</w:t>
            </w:r>
          </w:p>
        </w:tc>
      </w:tr>
      <w:tr w14:paraId="0EC603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784193E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6</w:t>
            </w:r>
          </w:p>
        </w:tc>
        <w:tc>
          <w:tcPr>
            <w:tcW w:w="1742" w:type="dxa"/>
            <w:vMerge w:val="restart"/>
            <w:vAlign w:val="center"/>
          </w:tcPr>
          <w:p w14:paraId="49C4B6D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医疗救护组</w:t>
            </w:r>
          </w:p>
        </w:tc>
        <w:tc>
          <w:tcPr>
            <w:tcW w:w="1742" w:type="dxa"/>
            <w:shd w:val="clear" w:color="auto" w:fill="auto"/>
            <w:vAlign w:val="center"/>
          </w:tcPr>
          <w:p w14:paraId="5102DF9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405B3B8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李华</w:t>
            </w:r>
          </w:p>
        </w:tc>
        <w:tc>
          <w:tcPr>
            <w:tcW w:w="1742" w:type="dxa"/>
            <w:vAlign w:val="center"/>
          </w:tcPr>
          <w:p w14:paraId="1107DFE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16629060087</w:t>
            </w:r>
          </w:p>
        </w:tc>
      </w:tr>
      <w:tr w14:paraId="657F88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5C1D00A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62FD226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shd w:val="clear" w:color="auto" w:fill="auto"/>
            <w:vAlign w:val="center"/>
          </w:tcPr>
          <w:p w14:paraId="654EDF4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6BE1C19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刘炬彬</w:t>
            </w:r>
          </w:p>
        </w:tc>
        <w:tc>
          <w:tcPr>
            <w:tcW w:w="1742" w:type="dxa"/>
            <w:vAlign w:val="center"/>
          </w:tcPr>
          <w:p w14:paraId="68297EF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16629060063</w:t>
            </w:r>
          </w:p>
        </w:tc>
      </w:tr>
      <w:tr w14:paraId="61D03D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restart"/>
            <w:vAlign w:val="center"/>
          </w:tcPr>
          <w:p w14:paraId="71AB7AD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7</w:t>
            </w:r>
          </w:p>
        </w:tc>
        <w:tc>
          <w:tcPr>
            <w:tcW w:w="1742" w:type="dxa"/>
            <w:vMerge w:val="restart"/>
            <w:vAlign w:val="center"/>
          </w:tcPr>
          <w:p w14:paraId="74FA14C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物资保障组</w:t>
            </w:r>
          </w:p>
        </w:tc>
        <w:tc>
          <w:tcPr>
            <w:tcW w:w="1742" w:type="dxa"/>
            <w:shd w:val="clear" w:color="auto" w:fill="auto"/>
            <w:vAlign w:val="center"/>
          </w:tcPr>
          <w:p w14:paraId="5A40F1F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组长</w:t>
            </w:r>
          </w:p>
        </w:tc>
        <w:tc>
          <w:tcPr>
            <w:tcW w:w="1742" w:type="dxa"/>
            <w:vAlign w:val="center"/>
          </w:tcPr>
          <w:p w14:paraId="708FDF4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赵新培</w:t>
            </w:r>
          </w:p>
        </w:tc>
        <w:tc>
          <w:tcPr>
            <w:tcW w:w="1742" w:type="dxa"/>
            <w:vAlign w:val="center"/>
          </w:tcPr>
          <w:p w14:paraId="5F0BA71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16602647535</w:t>
            </w:r>
          </w:p>
        </w:tc>
      </w:tr>
      <w:tr w14:paraId="11B776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741" w:type="dxa"/>
            <w:vMerge w:val="continue"/>
            <w:vAlign w:val="center"/>
          </w:tcPr>
          <w:p w14:paraId="2324B7A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vMerge w:val="continue"/>
            <w:vAlign w:val="center"/>
          </w:tcPr>
          <w:p w14:paraId="2C241F7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p>
        </w:tc>
        <w:tc>
          <w:tcPr>
            <w:tcW w:w="1742" w:type="dxa"/>
            <w:shd w:val="clear" w:color="auto" w:fill="auto"/>
            <w:vAlign w:val="center"/>
          </w:tcPr>
          <w:p w14:paraId="2360BD4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成员</w:t>
            </w:r>
          </w:p>
        </w:tc>
        <w:tc>
          <w:tcPr>
            <w:tcW w:w="1742" w:type="dxa"/>
            <w:vAlign w:val="center"/>
          </w:tcPr>
          <w:p w14:paraId="3C90873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王亚男</w:t>
            </w:r>
          </w:p>
        </w:tc>
        <w:tc>
          <w:tcPr>
            <w:tcW w:w="1742" w:type="dxa"/>
            <w:vAlign w:val="center"/>
          </w:tcPr>
          <w:p w14:paraId="640DA16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rPr>
            </w:pPr>
            <w:r>
              <w:rPr>
                <w:rFonts w:hint="default" w:ascii="Times New Roman" w:hAnsi="Times New Roman" w:eastAsia="仿宋" w:cs="Times New Roman"/>
                <w:spacing w:val="0"/>
                <w:sz w:val="24"/>
                <w:szCs w:val="24"/>
                <w:highlight w:val="none"/>
              </w:rPr>
              <w:t>16629060085</w:t>
            </w:r>
          </w:p>
        </w:tc>
      </w:tr>
    </w:tbl>
    <w:p w14:paraId="724D06C7">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9"/>
        <w:rPr>
          <w:rFonts w:hint="default" w:ascii="Times New Roman" w:hAnsi="Times New Roman" w:eastAsia="仿宋" w:cs="Times New Roman"/>
          <w:color w:val="auto"/>
          <w:spacing w:val="0"/>
          <w:w w:val="100"/>
          <w:sz w:val="28"/>
          <w:szCs w:val="28"/>
          <w:highlight w:val="none"/>
          <w:lang w:val="en-US" w:eastAsia="en-US"/>
        </w:rPr>
      </w:pPr>
    </w:p>
    <w:p w14:paraId="315696F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79" w:name="_Toc8618"/>
      <w:r>
        <w:rPr>
          <w:rFonts w:hint="eastAsia" w:ascii="Times New Roman" w:hAnsi="Times New Roman" w:eastAsia="仿宋" w:cs="Times New Roman"/>
          <w:color w:val="auto"/>
          <w:spacing w:val="0"/>
          <w:w w:val="100"/>
          <w:sz w:val="28"/>
          <w:szCs w:val="28"/>
          <w:highlight w:val="none"/>
          <w:lang w:val="en-US" w:eastAsia="en-US"/>
        </w:rPr>
        <w:t>附件 2 外部单位及政府有关部门联系电话</w:t>
      </w:r>
      <w:bookmarkEnd w:id="79"/>
    </w:p>
    <w:tbl>
      <w:tblPr>
        <w:tblStyle w:val="16"/>
        <w:tblW w:w="436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301"/>
        <w:gridCol w:w="4304"/>
      </w:tblGrid>
      <w:tr w14:paraId="48FE65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499" w:type="pct"/>
            <w:vAlign w:val="center"/>
          </w:tcPr>
          <w:p w14:paraId="25D6E6C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单位</w:t>
            </w:r>
          </w:p>
        </w:tc>
        <w:tc>
          <w:tcPr>
            <w:tcW w:w="2500" w:type="pct"/>
            <w:vAlign w:val="center"/>
          </w:tcPr>
          <w:p w14:paraId="190B07A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联络电话</w:t>
            </w:r>
          </w:p>
        </w:tc>
      </w:tr>
      <w:tr w14:paraId="49DACA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499" w:type="pct"/>
            <w:vAlign w:val="center"/>
          </w:tcPr>
          <w:p w14:paraId="2EBF0EB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消防报警</w:t>
            </w:r>
          </w:p>
        </w:tc>
        <w:tc>
          <w:tcPr>
            <w:tcW w:w="2500" w:type="pct"/>
            <w:shd w:val="clear" w:color="auto" w:fill="auto"/>
            <w:vAlign w:val="center"/>
          </w:tcPr>
          <w:p w14:paraId="252845F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zh-CN"/>
              </w:rPr>
              <w:t>应急救援指挥部</w:t>
            </w:r>
          </w:p>
        </w:tc>
      </w:tr>
      <w:tr w14:paraId="328D2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499" w:type="pct"/>
            <w:vAlign w:val="center"/>
          </w:tcPr>
          <w:p w14:paraId="4A9B2BB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急救中心</w:t>
            </w:r>
          </w:p>
        </w:tc>
        <w:tc>
          <w:tcPr>
            <w:tcW w:w="2500" w:type="pct"/>
            <w:shd w:val="clear" w:color="auto" w:fill="auto"/>
            <w:vAlign w:val="center"/>
          </w:tcPr>
          <w:p w14:paraId="51271D8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120</w:t>
            </w:r>
          </w:p>
        </w:tc>
      </w:tr>
      <w:tr w14:paraId="4FDA1B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499" w:type="pct"/>
            <w:vAlign w:val="center"/>
          </w:tcPr>
          <w:p w14:paraId="21F6D4E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天津立中车轮有限公司</w:t>
            </w:r>
          </w:p>
        </w:tc>
        <w:tc>
          <w:tcPr>
            <w:tcW w:w="2500" w:type="pct"/>
            <w:vAlign w:val="center"/>
          </w:tcPr>
          <w:p w14:paraId="7CA38EF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59889958</w:t>
            </w:r>
          </w:p>
        </w:tc>
      </w:tr>
      <w:tr w14:paraId="25EADF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499" w:type="pct"/>
            <w:vAlign w:val="center"/>
          </w:tcPr>
          <w:p w14:paraId="6074DDF9">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天津经济技术开发区管委会</w:t>
            </w:r>
          </w:p>
        </w:tc>
        <w:tc>
          <w:tcPr>
            <w:tcW w:w="2500" w:type="pct"/>
            <w:shd w:val="clear" w:color="auto" w:fill="auto"/>
            <w:vAlign w:val="center"/>
          </w:tcPr>
          <w:p w14:paraId="332D307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default"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022-25201117</w:t>
            </w:r>
          </w:p>
        </w:tc>
      </w:tr>
      <w:tr w14:paraId="2DD4A8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5" w:hRule="atLeast"/>
          <w:jc w:val="center"/>
        </w:trPr>
        <w:tc>
          <w:tcPr>
            <w:tcW w:w="2499" w:type="pct"/>
            <w:vAlign w:val="center"/>
          </w:tcPr>
          <w:p w14:paraId="28B4321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天津经济技术开发区生态环境局</w:t>
            </w:r>
          </w:p>
        </w:tc>
        <w:tc>
          <w:tcPr>
            <w:tcW w:w="2500" w:type="pct"/>
            <w:vAlign w:val="center"/>
          </w:tcPr>
          <w:p w14:paraId="1EB969E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022-25201119</w:t>
            </w:r>
          </w:p>
        </w:tc>
      </w:tr>
      <w:tr w14:paraId="5F320E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499" w:type="pct"/>
            <w:vAlign w:val="center"/>
          </w:tcPr>
          <w:p w14:paraId="57A712B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开发区消防支队电话</w:t>
            </w:r>
          </w:p>
        </w:tc>
        <w:tc>
          <w:tcPr>
            <w:tcW w:w="2500" w:type="pct"/>
            <w:vAlign w:val="center"/>
          </w:tcPr>
          <w:p w14:paraId="6D12175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25201319、25201317</w:t>
            </w:r>
          </w:p>
        </w:tc>
      </w:tr>
      <w:tr w14:paraId="43A6A2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499" w:type="pct"/>
            <w:vAlign w:val="center"/>
          </w:tcPr>
          <w:p w14:paraId="1E88E8D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开发区</w:t>
            </w:r>
            <w:r>
              <w:rPr>
                <w:rFonts w:hint="eastAsia" w:ascii="Times New Roman" w:hAnsi="Times New Roman" w:eastAsia="仿宋" w:cs="Times New Roman"/>
                <w:spacing w:val="0"/>
                <w:sz w:val="24"/>
                <w:szCs w:val="24"/>
                <w:highlight w:val="none"/>
                <w:lang w:val="en-US" w:eastAsia="zh-CN"/>
              </w:rPr>
              <w:t>应急</w:t>
            </w:r>
            <w:r>
              <w:rPr>
                <w:rFonts w:hint="eastAsia" w:ascii="Times New Roman" w:hAnsi="Times New Roman" w:eastAsia="仿宋" w:cs="Times New Roman"/>
                <w:spacing w:val="0"/>
                <w:sz w:val="24"/>
                <w:szCs w:val="24"/>
                <w:highlight w:val="none"/>
                <w:lang w:val="en-US" w:eastAsia="en-US"/>
              </w:rPr>
              <w:t>局电话</w:t>
            </w:r>
          </w:p>
        </w:tc>
        <w:tc>
          <w:tcPr>
            <w:tcW w:w="2500" w:type="pct"/>
            <w:vAlign w:val="center"/>
          </w:tcPr>
          <w:p w14:paraId="4500518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zh-CN"/>
              </w:rPr>
            </w:pPr>
            <w:r>
              <w:rPr>
                <w:rFonts w:hint="eastAsia" w:ascii="Times New Roman" w:hAnsi="Times New Roman" w:eastAsia="仿宋" w:cs="Times New Roman"/>
                <w:spacing w:val="0"/>
                <w:sz w:val="24"/>
                <w:szCs w:val="24"/>
                <w:highlight w:val="none"/>
                <w:lang w:val="en-US" w:eastAsia="en-US"/>
              </w:rPr>
              <w:t>25201705、25201590</w:t>
            </w:r>
          </w:p>
        </w:tc>
      </w:tr>
      <w:tr w14:paraId="0CDB45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499" w:type="pct"/>
            <w:vAlign w:val="center"/>
          </w:tcPr>
          <w:p w14:paraId="234CDDA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en-US"/>
              </w:rPr>
              <w:t>燃气供应单位</w:t>
            </w:r>
          </w:p>
        </w:tc>
        <w:tc>
          <w:tcPr>
            <w:tcW w:w="2500" w:type="pct"/>
            <w:vAlign w:val="center"/>
          </w:tcPr>
          <w:p w14:paraId="3323C22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en-US"/>
              </w:rPr>
              <w:t>67192160</w:t>
            </w:r>
          </w:p>
        </w:tc>
      </w:tr>
      <w:tr w14:paraId="41FAF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4" w:hRule="atLeast"/>
          <w:jc w:val="center"/>
        </w:trPr>
        <w:tc>
          <w:tcPr>
            <w:tcW w:w="2499" w:type="pct"/>
            <w:vAlign w:val="center"/>
          </w:tcPr>
          <w:p w14:paraId="7164266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en-US"/>
              </w:rPr>
              <w:t>天津市滨海新区水务局</w:t>
            </w:r>
          </w:p>
        </w:tc>
        <w:tc>
          <w:tcPr>
            <w:tcW w:w="2500" w:type="pct"/>
            <w:vAlign w:val="center"/>
          </w:tcPr>
          <w:p w14:paraId="04EC9A0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en-US"/>
              </w:rPr>
              <w:t>65305318</w:t>
            </w:r>
          </w:p>
        </w:tc>
      </w:tr>
      <w:tr w14:paraId="2779A2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4" w:hRule="atLeast"/>
          <w:jc w:val="center"/>
        </w:trPr>
        <w:tc>
          <w:tcPr>
            <w:tcW w:w="2499" w:type="pct"/>
            <w:vAlign w:val="center"/>
          </w:tcPr>
          <w:p w14:paraId="00F7D35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en-US"/>
              </w:rPr>
              <w:t>天津开发区西区医院电话</w:t>
            </w:r>
          </w:p>
        </w:tc>
        <w:tc>
          <w:tcPr>
            <w:tcW w:w="2500" w:type="pct"/>
            <w:vAlign w:val="center"/>
          </w:tcPr>
          <w:p w14:paraId="05F00C9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en-US"/>
              </w:rPr>
              <w:t>28208891</w:t>
            </w:r>
          </w:p>
        </w:tc>
      </w:tr>
    </w:tbl>
    <w:p w14:paraId="502EF9EE">
      <w:pPr>
        <w:rPr>
          <w:rFonts w:hint="eastAsia" w:ascii="Times New Roman" w:hAnsi="Times New Roman" w:eastAsia="仿宋" w:cs="Times New Roman"/>
          <w:color w:val="auto"/>
          <w:spacing w:val="0"/>
          <w:w w:val="100"/>
          <w:sz w:val="28"/>
          <w:szCs w:val="28"/>
          <w:lang w:val="en-US" w:eastAsia="en-US"/>
        </w:rPr>
      </w:pPr>
      <w:r>
        <w:rPr>
          <w:rFonts w:hint="eastAsia" w:ascii="Times New Roman" w:hAnsi="Times New Roman" w:eastAsia="仿宋" w:cs="Times New Roman"/>
          <w:color w:val="auto"/>
          <w:spacing w:val="0"/>
          <w:w w:val="100"/>
          <w:sz w:val="28"/>
          <w:szCs w:val="28"/>
          <w:lang w:val="en-US" w:eastAsia="en-US"/>
        </w:rPr>
        <w:br w:type="page"/>
      </w:r>
    </w:p>
    <w:p w14:paraId="43737743">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80" w:name="_Toc12012"/>
      <w:r>
        <w:rPr>
          <w:rFonts w:hint="eastAsia" w:ascii="Times New Roman" w:hAnsi="Times New Roman" w:eastAsia="仿宋" w:cs="Times New Roman"/>
          <w:color w:val="auto"/>
          <w:spacing w:val="0"/>
          <w:w w:val="100"/>
          <w:sz w:val="28"/>
          <w:szCs w:val="28"/>
          <w:highlight w:val="none"/>
          <w:lang w:val="en-US" w:eastAsia="en-US"/>
        </w:rPr>
        <w:t xml:space="preserve">附件 3 </w:t>
      </w:r>
      <w:r>
        <w:rPr>
          <w:rFonts w:hint="eastAsia" w:ascii="Times New Roman" w:hAnsi="Times New Roman" w:eastAsia="仿宋" w:cs="Times New Roman"/>
          <w:color w:val="auto"/>
          <w:spacing w:val="0"/>
          <w:w w:val="100"/>
          <w:sz w:val="28"/>
          <w:szCs w:val="28"/>
          <w:highlight w:val="none"/>
          <w:lang w:val="en-US" w:eastAsia="zh-CN"/>
        </w:rPr>
        <w:t>2023</w:t>
      </w:r>
      <w:r>
        <w:rPr>
          <w:rFonts w:hint="eastAsia" w:ascii="Times New Roman" w:hAnsi="Times New Roman" w:eastAsia="仿宋" w:cs="Times New Roman"/>
          <w:color w:val="auto"/>
          <w:spacing w:val="0"/>
          <w:w w:val="100"/>
          <w:sz w:val="28"/>
          <w:szCs w:val="28"/>
          <w:highlight w:val="none"/>
          <w:lang w:val="en-US" w:eastAsia="en-US"/>
        </w:rPr>
        <w:t>版应急预案备案表</w:t>
      </w:r>
      <w:bookmarkEnd w:id="80"/>
    </w:p>
    <w:p w14:paraId="1036248F">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10605" cy="8644890"/>
            <wp:effectExtent l="0" t="0" r="4445" b="3810"/>
            <wp:docPr id="116" name="图片 116" descr="天津立中轻合金锻造应急预案备案表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图片 116" descr="天津立中轻合金锻造应急预案备案表_01"/>
                    <pic:cNvPicPr>
                      <a:picLocks noChangeAspect="1"/>
                    </pic:cNvPicPr>
                  </pic:nvPicPr>
                  <pic:blipFill>
                    <a:blip r:embed="rId24"/>
                    <a:stretch>
                      <a:fillRect/>
                    </a:stretch>
                  </pic:blipFill>
                  <pic:spPr>
                    <a:xfrm>
                      <a:off x="0" y="0"/>
                      <a:ext cx="6110605" cy="8644890"/>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10605" cy="8644890"/>
            <wp:effectExtent l="0" t="0" r="4445" b="3810"/>
            <wp:docPr id="115" name="图片 115" descr="天津立中轻合金锻造应急预案备案表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图片 115" descr="天津立中轻合金锻造应急预案备案表_02"/>
                    <pic:cNvPicPr>
                      <a:picLocks noChangeAspect="1"/>
                    </pic:cNvPicPr>
                  </pic:nvPicPr>
                  <pic:blipFill>
                    <a:blip r:embed="rId25"/>
                    <a:stretch>
                      <a:fillRect/>
                    </a:stretch>
                  </pic:blipFill>
                  <pic:spPr>
                    <a:xfrm>
                      <a:off x="0" y="0"/>
                      <a:ext cx="6110605" cy="8644890"/>
                    </a:xfrm>
                    <a:prstGeom prst="rect">
                      <a:avLst/>
                    </a:prstGeom>
                  </pic:spPr>
                </pic:pic>
              </a:graphicData>
            </a:graphic>
          </wp:inline>
        </w:drawing>
      </w:r>
    </w:p>
    <w:p w14:paraId="4C32E496">
      <w:pPr>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br w:type="page"/>
      </w:r>
    </w:p>
    <w:p w14:paraId="17B30BE6">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81" w:name="_Toc26250"/>
      <w:r>
        <w:rPr>
          <w:rFonts w:hint="eastAsia" w:ascii="Times New Roman" w:hAnsi="Times New Roman" w:eastAsia="仿宋" w:cs="Times New Roman"/>
          <w:color w:val="auto"/>
          <w:spacing w:val="0"/>
          <w:w w:val="100"/>
          <w:sz w:val="28"/>
          <w:szCs w:val="28"/>
          <w:highlight w:val="none"/>
          <w:lang w:val="en-US" w:eastAsia="en-US"/>
        </w:rPr>
        <w:t>附件 4 公司历次环评手续履行情况</w:t>
      </w:r>
      <w:bookmarkEnd w:id="81"/>
    </w:p>
    <w:tbl>
      <w:tblPr>
        <w:tblStyle w:val="15"/>
        <w:tblW w:w="8265"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2171"/>
        <w:gridCol w:w="962"/>
        <w:gridCol w:w="1099"/>
        <w:gridCol w:w="3155"/>
        <w:gridCol w:w="878"/>
      </w:tblGrid>
      <w:tr w14:paraId="53BE29F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5C8A0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历次项目名称</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C3A56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环评批复时间</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389909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环保验收时间</w:t>
            </w:r>
          </w:p>
        </w:tc>
        <w:tc>
          <w:tcPr>
            <w:tcW w:w="3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116051">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主要建设内容</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D13ADA">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现状</w:t>
            </w:r>
          </w:p>
        </w:tc>
      </w:tr>
      <w:tr w14:paraId="39F553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60" w:hRule="atLeast"/>
          <w:jc w:val="center"/>
        </w:trPr>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3E23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天津那诺机械制造生产基地项目</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9E81C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2008年7月</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2F8EA3F">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2011年1月</w:t>
            </w:r>
          </w:p>
        </w:tc>
        <w:tc>
          <w:tcPr>
            <w:tcW w:w="3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ADF1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主要进行低压铸造模具、低压重力模具的生产</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C5C48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正常生产</w:t>
            </w:r>
          </w:p>
        </w:tc>
      </w:tr>
      <w:tr w14:paraId="50A3FA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50" w:hRule="atLeast"/>
          <w:jc w:val="center"/>
        </w:trPr>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24CB5D">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天津那诺机械制造有限公司扩建锻造汽车轮毂毛坯件及成品项目及变更项目</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DD992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2013年3月，2017年5月</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66AD2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2019年2月</w:t>
            </w:r>
          </w:p>
        </w:tc>
        <w:tc>
          <w:tcPr>
            <w:tcW w:w="3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BB2B5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主要进行汽车轮毂毛坯件12万只/年，乘用车车轮12万只/年的生产</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6A139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不再进行生产</w:t>
            </w:r>
          </w:p>
        </w:tc>
      </w:tr>
      <w:tr w14:paraId="28B38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2310" w:hRule="atLeast"/>
          <w:jc w:val="center"/>
        </w:trPr>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AAC25">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天津那诺机械制造有限公司新建年产80万只重载卡车客车用液态模锻高强韧轻量化铝合金车轮智能制造产业化项目</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72C868">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2017年5月</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3BB8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尚未验收</w:t>
            </w:r>
          </w:p>
        </w:tc>
        <w:tc>
          <w:tcPr>
            <w:tcW w:w="3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016313">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主要进行商用车轮80万只/年的生产</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60654C">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不再建设</w:t>
            </w:r>
          </w:p>
        </w:tc>
      </w:tr>
      <w:tr w14:paraId="4F295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320" w:hRule="atLeast"/>
          <w:jc w:val="center"/>
        </w:trPr>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A2EA2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新建天津立中嘉世通45万只高级锻造镁铝合金轮毂项目</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8AC1D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2017年10月</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7AE4B2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2019年10月</w:t>
            </w:r>
          </w:p>
        </w:tc>
        <w:tc>
          <w:tcPr>
            <w:tcW w:w="3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85D4604">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主要进行45万只/年高级锻造镁铝合金轮毂的生产</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13F6E">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正常生产</w:t>
            </w:r>
          </w:p>
        </w:tc>
      </w:tr>
      <w:tr w14:paraId="6814ED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300" w:hRule="atLeast"/>
          <w:jc w:val="center"/>
        </w:trPr>
        <w:tc>
          <w:tcPr>
            <w:tcW w:w="21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678597">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天津立中轻合金锻造有限公司商用车车轮、乘用车车轮、汽车轮毂毛坯件104万只/年及小配件50万只/年生产线项目</w:t>
            </w:r>
          </w:p>
        </w:tc>
        <w:tc>
          <w:tcPr>
            <w:tcW w:w="96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D91422">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2023年3月</w:t>
            </w:r>
          </w:p>
        </w:tc>
        <w:tc>
          <w:tcPr>
            <w:tcW w:w="109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26B97B">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已建成试运行，正在竣工验收</w:t>
            </w:r>
          </w:p>
        </w:tc>
        <w:tc>
          <w:tcPr>
            <w:tcW w:w="315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D850F6">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新建设一条商用车车轮、乘用车车轮、汽车轮毂毛坯件生产线，设计年产乘用车车轮12万只/年、商用车车轮30万只/年、乘用车汽车轮毂毛坯件12万只/年、商用车汽车轮毂毛坯件50万只/年；新建设法兰盘等小配件生产线，设计年产法兰盘等小配件50万只/年</w:t>
            </w:r>
          </w:p>
        </w:tc>
        <w:tc>
          <w:tcPr>
            <w:tcW w:w="87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B7CEF0">
            <w:pPr>
              <w:pStyle w:val="19"/>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jc w:val="center"/>
              <w:textAlignment w:val="baseline"/>
              <w:rPr>
                <w:rFonts w:hint="eastAsia" w:ascii="Times New Roman" w:hAnsi="Times New Roman" w:eastAsia="仿宋" w:cs="Times New Roman"/>
                <w:spacing w:val="0"/>
                <w:sz w:val="24"/>
                <w:szCs w:val="24"/>
                <w:highlight w:val="none"/>
                <w:lang w:val="en-US" w:eastAsia="en-US"/>
              </w:rPr>
            </w:pPr>
            <w:r>
              <w:rPr>
                <w:rFonts w:hint="eastAsia" w:ascii="Times New Roman" w:hAnsi="Times New Roman" w:eastAsia="仿宋" w:cs="Times New Roman"/>
                <w:spacing w:val="0"/>
                <w:sz w:val="24"/>
                <w:szCs w:val="24"/>
                <w:highlight w:val="none"/>
                <w:lang w:val="en-US" w:eastAsia="zh-CN"/>
              </w:rPr>
              <w:t>正常生产</w:t>
            </w:r>
          </w:p>
        </w:tc>
      </w:tr>
    </w:tbl>
    <w:p w14:paraId="0A120319">
      <w:pPr>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br w:type="page"/>
      </w:r>
    </w:p>
    <w:p w14:paraId="6405799B">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8" name="图片 148" descr="1.2023年4月6日--天津立中轻合金锻造有限公司突发环境事件应急预案_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8" name="图片 148" descr="1.2023年4月6日--天津立中轻合金锻造有限公司突发环境事件应急预案_63"/>
                    <pic:cNvPicPr>
                      <a:picLocks noChangeAspect="1"/>
                    </pic:cNvPicPr>
                  </pic:nvPicPr>
                  <pic:blipFill>
                    <a:blip r:embed="rId26"/>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7" name="图片 147" descr="1.2023年4月6日--天津立中轻合金锻造有限公司突发环境事件应急预案_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 name="图片 147" descr="1.2023年4月6日--天津立中轻合金锻造有限公司突发环境事件应急预案_64"/>
                    <pic:cNvPicPr>
                      <a:picLocks noChangeAspect="1"/>
                    </pic:cNvPicPr>
                  </pic:nvPicPr>
                  <pic:blipFill>
                    <a:blip r:embed="rId27"/>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6" name="图片 146" descr="1.2023年4月6日--天津立中轻合金锻造有限公司突发环境事件应急预案_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 name="图片 146" descr="1.2023年4月6日--天津立中轻合金锻造有限公司突发环境事件应急预案_65"/>
                    <pic:cNvPicPr>
                      <a:picLocks noChangeAspect="1"/>
                    </pic:cNvPicPr>
                  </pic:nvPicPr>
                  <pic:blipFill>
                    <a:blip r:embed="rId28"/>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5" name="图片 145" descr="1.2023年4月6日--天津立中轻合金锻造有限公司突发环境事件应急预案_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 name="图片 145" descr="1.2023年4月6日--天津立中轻合金锻造有限公司突发环境事件应急预案_66"/>
                    <pic:cNvPicPr>
                      <a:picLocks noChangeAspect="1"/>
                    </pic:cNvPicPr>
                  </pic:nvPicPr>
                  <pic:blipFill>
                    <a:blip r:embed="rId29"/>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4" name="图片 144" descr="1.2023年4月6日--天津立中轻合金锻造有限公司突发环境事件应急预案_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 name="图片 144" descr="1.2023年4月6日--天津立中轻合金锻造有限公司突发环境事件应急预案_67"/>
                    <pic:cNvPicPr>
                      <a:picLocks noChangeAspect="1"/>
                    </pic:cNvPicPr>
                  </pic:nvPicPr>
                  <pic:blipFill>
                    <a:blip r:embed="rId30"/>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3" name="图片 143" descr="1.2023年4月6日--天津立中轻合金锻造有限公司突发环境事件应急预案_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 name="图片 143" descr="1.2023年4月6日--天津立中轻合金锻造有限公司突发环境事件应急预案_68"/>
                    <pic:cNvPicPr>
                      <a:picLocks noChangeAspect="1"/>
                    </pic:cNvPicPr>
                  </pic:nvPicPr>
                  <pic:blipFill>
                    <a:blip r:embed="rId31"/>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2" name="图片 142" descr="1.2023年4月6日--天津立中轻合金锻造有限公司突发环境事件应急预案_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图片 142" descr="1.2023年4月6日--天津立中轻合金锻造有限公司突发环境事件应急预案_69"/>
                    <pic:cNvPicPr>
                      <a:picLocks noChangeAspect="1"/>
                    </pic:cNvPicPr>
                  </pic:nvPicPr>
                  <pic:blipFill>
                    <a:blip r:embed="rId32"/>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1" name="图片 141" descr="1.2023年4月6日--天津立中轻合金锻造有限公司突发环境事件应急预案_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 name="图片 141" descr="1.2023年4月6日--天津立中轻合金锻造有限公司突发环境事件应急预案_70"/>
                    <pic:cNvPicPr>
                      <a:picLocks noChangeAspect="1"/>
                    </pic:cNvPicPr>
                  </pic:nvPicPr>
                  <pic:blipFill>
                    <a:blip r:embed="rId33"/>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40" name="图片 140" descr="1.2023年4月6日--天津立中轻合金锻造有限公司突发环境事件应急预案_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 name="图片 140" descr="1.2023年4月6日--天津立中轻合金锻造有限公司突发环境事件应急预案_71"/>
                    <pic:cNvPicPr>
                      <a:picLocks noChangeAspect="1"/>
                    </pic:cNvPicPr>
                  </pic:nvPicPr>
                  <pic:blipFill>
                    <a:blip r:embed="rId34"/>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9" name="图片 139" descr="1.2023年4月6日--天津立中轻合金锻造有限公司突发环境事件应急预案_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图片 139" descr="1.2023年4月6日--天津立中轻合金锻造有限公司突发环境事件应急预案_72"/>
                    <pic:cNvPicPr>
                      <a:picLocks noChangeAspect="1"/>
                    </pic:cNvPicPr>
                  </pic:nvPicPr>
                  <pic:blipFill>
                    <a:blip r:embed="rId35"/>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8" name="图片 138" descr="1.2023年4月6日--天津立中轻合金锻造有限公司突发环境事件应急预案_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 name="图片 138" descr="1.2023年4月6日--天津立中轻合金锻造有限公司突发环境事件应急预案_73"/>
                    <pic:cNvPicPr>
                      <a:picLocks noChangeAspect="1"/>
                    </pic:cNvPicPr>
                  </pic:nvPicPr>
                  <pic:blipFill>
                    <a:blip r:embed="rId36"/>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7" name="图片 137" descr="1.2023年4月6日--天津立中轻合金锻造有限公司突发环境事件应急预案_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 name="图片 137" descr="1.2023年4月6日--天津立中轻合金锻造有限公司突发环境事件应急预案_74"/>
                    <pic:cNvPicPr>
                      <a:picLocks noChangeAspect="1"/>
                    </pic:cNvPicPr>
                  </pic:nvPicPr>
                  <pic:blipFill>
                    <a:blip r:embed="rId37"/>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6" name="图片 136" descr="1.2023年4月6日--天津立中轻合金锻造有限公司突发环境事件应急预案_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 name="图片 136" descr="1.2023年4月6日--天津立中轻合金锻造有限公司突发环境事件应急预案_75"/>
                    <pic:cNvPicPr>
                      <a:picLocks noChangeAspect="1"/>
                    </pic:cNvPicPr>
                  </pic:nvPicPr>
                  <pic:blipFill>
                    <a:blip r:embed="rId38"/>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5" name="图片 135" descr="1.2023年4月6日--天津立中轻合金锻造有限公司突发环境事件应急预案_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 name="图片 135" descr="1.2023年4月6日--天津立中轻合金锻造有限公司突发环境事件应急预案_76"/>
                    <pic:cNvPicPr>
                      <a:picLocks noChangeAspect="1"/>
                    </pic:cNvPicPr>
                  </pic:nvPicPr>
                  <pic:blipFill>
                    <a:blip r:embed="rId39"/>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4" name="图片 134" descr="1.2023年4月6日--天津立中轻合金锻造有限公司突发环境事件应急预案_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 name="图片 134" descr="1.2023年4月6日--天津立中轻合金锻造有限公司突发环境事件应急预案_77"/>
                    <pic:cNvPicPr>
                      <a:picLocks noChangeAspect="1"/>
                    </pic:cNvPicPr>
                  </pic:nvPicPr>
                  <pic:blipFill>
                    <a:blip r:embed="rId40"/>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3" name="图片 133" descr="1.2023年4月6日--天津立中轻合金锻造有限公司突发环境事件应急预案_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 name="图片 133" descr="1.2023年4月6日--天津立中轻合金锻造有限公司突发环境事件应急预案_78"/>
                    <pic:cNvPicPr>
                      <a:picLocks noChangeAspect="1"/>
                    </pic:cNvPicPr>
                  </pic:nvPicPr>
                  <pic:blipFill>
                    <a:blip r:embed="rId41"/>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2" name="图片 132" descr="1.2023年4月6日--天津立中轻合金锻造有限公司突发环境事件应急预案_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 name="图片 132" descr="1.2023年4月6日--天津立中轻合金锻造有限公司突发环境事件应急预案_79"/>
                    <pic:cNvPicPr>
                      <a:picLocks noChangeAspect="1"/>
                    </pic:cNvPicPr>
                  </pic:nvPicPr>
                  <pic:blipFill>
                    <a:blip r:embed="rId42"/>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1" name="图片 131" descr="1.2023年4月6日--天津立中轻合金锻造有限公司突发环境事件应急预案_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 name="图片 131" descr="1.2023年4月6日--天津立中轻合金锻造有限公司突发环境事件应急预案_80"/>
                    <pic:cNvPicPr>
                      <a:picLocks noChangeAspect="1"/>
                    </pic:cNvPicPr>
                  </pic:nvPicPr>
                  <pic:blipFill>
                    <a:blip r:embed="rId43"/>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30" name="图片 130" descr="1.2023年4月6日--天津立中轻合金锻造有限公司突发环境事件应急预案_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 name="图片 130" descr="1.2023年4月6日--天津立中轻合金锻造有限公司突发环境事件应急预案_81"/>
                    <pic:cNvPicPr>
                      <a:picLocks noChangeAspect="1"/>
                    </pic:cNvPicPr>
                  </pic:nvPicPr>
                  <pic:blipFill>
                    <a:blip r:embed="rId44"/>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9" name="图片 129" descr="1.2023年4月6日--天津立中轻合金锻造有限公司突发环境事件应急预案_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 name="图片 129" descr="1.2023年4月6日--天津立中轻合金锻造有限公司突发环境事件应急预案_82"/>
                    <pic:cNvPicPr>
                      <a:picLocks noChangeAspect="1"/>
                    </pic:cNvPicPr>
                  </pic:nvPicPr>
                  <pic:blipFill>
                    <a:blip r:embed="rId45"/>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8" name="图片 128" descr="1.2023年4月6日--天津立中轻合金锻造有限公司突发环境事件应急预案_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 name="图片 128" descr="1.2023年4月6日--天津立中轻合金锻造有限公司突发环境事件应急预案_83"/>
                    <pic:cNvPicPr>
                      <a:picLocks noChangeAspect="1"/>
                    </pic:cNvPicPr>
                  </pic:nvPicPr>
                  <pic:blipFill>
                    <a:blip r:embed="rId46"/>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7" name="图片 127" descr="1.2023年4月6日--天津立中轻合金锻造有限公司突发环境事件应急预案_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 name="图片 127" descr="1.2023年4月6日--天津立中轻合金锻造有限公司突发环境事件应急预案_84"/>
                    <pic:cNvPicPr>
                      <a:picLocks noChangeAspect="1"/>
                    </pic:cNvPicPr>
                  </pic:nvPicPr>
                  <pic:blipFill>
                    <a:blip r:embed="rId47"/>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6" name="图片 126" descr="1.2023年4月6日--天津立中轻合金锻造有限公司突发环境事件应急预案_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 name="图片 126" descr="1.2023年4月6日--天津立中轻合金锻造有限公司突发环境事件应急预案_85"/>
                    <pic:cNvPicPr>
                      <a:picLocks noChangeAspect="1"/>
                    </pic:cNvPicPr>
                  </pic:nvPicPr>
                  <pic:blipFill>
                    <a:blip r:embed="rId48"/>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5" name="图片 125" descr="1.2023年4月6日--天津立中轻合金锻造有限公司突发环境事件应急预案_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 name="图片 125" descr="1.2023年4月6日--天津立中轻合金锻造有限公司突发环境事件应急预案_86"/>
                    <pic:cNvPicPr>
                      <a:picLocks noChangeAspect="1"/>
                    </pic:cNvPicPr>
                  </pic:nvPicPr>
                  <pic:blipFill>
                    <a:blip r:embed="rId49"/>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4" name="图片 124" descr="1.2023年4月6日--天津立中轻合金锻造有限公司突发环境事件应急预案_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 name="图片 124" descr="1.2023年4月6日--天津立中轻合金锻造有限公司突发环境事件应急预案_87"/>
                    <pic:cNvPicPr>
                      <a:picLocks noChangeAspect="1"/>
                    </pic:cNvPicPr>
                  </pic:nvPicPr>
                  <pic:blipFill>
                    <a:blip r:embed="rId50"/>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3" name="图片 123" descr="1.2023年4月6日--天津立中轻合金锻造有限公司突发环境事件应急预案_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图片 123" descr="1.2023年4月6日--天津立中轻合金锻造有限公司突发环境事件应急预案_88"/>
                    <pic:cNvPicPr>
                      <a:picLocks noChangeAspect="1"/>
                    </pic:cNvPicPr>
                  </pic:nvPicPr>
                  <pic:blipFill>
                    <a:blip r:embed="rId51"/>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2" name="图片 122" descr="1.2023年4月6日--天津立中轻合金锻造有限公司突发环境事件应急预案_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图片 122" descr="1.2023年4月6日--天津立中轻合金锻造有限公司突发环境事件应急预案_89"/>
                    <pic:cNvPicPr>
                      <a:picLocks noChangeAspect="1"/>
                    </pic:cNvPicPr>
                  </pic:nvPicPr>
                  <pic:blipFill>
                    <a:blip r:embed="rId52"/>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1" name="图片 121" descr="1.2023年4月6日--天津立中轻合金锻造有限公司突发环境事件应急预案_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 name="图片 121" descr="1.2023年4月6日--天津立中轻合金锻造有限公司突发环境事件应急预案_90"/>
                    <pic:cNvPicPr>
                      <a:picLocks noChangeAspect="1"/>
                    </pic:cNvPicPr>
                  </pic:nvPicPr>
                  <pic:blipFill>
                    <a:blip r:embed="rId53"/>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20" name="图片 120" descr="1.2023年4月6日--天津立中轻合金锻造有限公司突发环境事件应急预案_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图片 120" descr="1.2023年4月6日--天津立中轻合金锻造有限公司突发环境事件应急预案_91"/>
                    <pic:cNvPicPr>
                      <a:picLocks noChangeAspect="1"/>
                    </pic:cNvPicPr>
                  </pic:nvPicPr>
                  <pic:blipFill>
                    <a:blip r:embed="rId54"/>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19" name="图片 119" descr="1.2023年4月6日--天津立中轻合金锻造有限公司突发环境事件应急预案_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 name="图片 119" descr="1.2023年4月6日--天津立中轻合金锻造有限公司突发环境事件应急预案_92"/>
                    <pic:cNvPicPr>
                      <a:picLocks noChangeAspect="1"/>
                    </pic:cNvPicPr>
                  </pic:nvPicPr>
                  <pic:blipFill>
                    <a:blip r:embed="rId55"/>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18" name="图片 118" descr="1.2023年4月6日--天津立中轻合金锻造有限公司突发环境事件应急预案_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图片 118" descr="1.2023年4月6日--天津立中轻合金锻造有限公司突发环境事件应急预案_93"/>
                    <pic:cNvPicPr>
                      <a:picLocks noChangeAspect="1"/>
                    </pic:cNvPicPr>
                  </pic:nvPicPr>
                  <pic:blipFill>
                    <a:blip r:embed="rId56"/>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117" name="图片 117" descr="1.2023年4月6日--天津立中轻合金锻造有限公司突发环境事件应急预案_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图片 117" descr="1.2023年4月6日--天津立中轻合金锻造有限公司突发环境事件应急预案_94"/>
                    <pic:cNvPicPr>
                      <a:picLocks noChangeAspect="1"/>
                    </pic:cNvPicPr>
                  </pic:nvPicPr>
                  <pic:blipFill>
                    <a:blip r:embed="rId57"/>
                    <a:stretch>
                      <a:fillRect/>
                    </a:stretch>
                  </pic:blipFill>
                  <pic:spPr>
                    <a:xfrm>
                      <a:off x="0" y="0"/>
                      <a:ext cx="6108700" cy="8639175"/>
                    </a:xfrm>
                    <a:prstGeom prst="rect">
                      <a:avLst/>
                    </a:prstGeom>
                  </pic:spPr>
                </pic:pic>
              </a:graphicData>
            </a:graphic>
          </wp:inline>
        </w:drawing>
      </w:r>
    </w:p>
    <w:p w14:paraId="292614B6">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9" name="图片 9" descr="天津立中轻合金锻造有限公司商用车车轮、乘用车车轮、汽车轮毂毛坯件104万只年及小配件50万只年生产线项目竣工环保验收监测报告(1)_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天津立中轻合金锻造有限公司商用车车轮、乘用车车轮、汽车轮毂毛坯件104万只年及小配件50万只年生产线项目竣工环保验收监测报告(1)_141"/>
                    <pic:cNvPicPr>
                      <a:picLocks noChangeAspect="1"/>
                    </pic:cNvPicPr>
                  </pic:nvPicPr>
                  <pic:blipFill>
                    <a:blip r:embed="rId58"/>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8" name="图片 8" descr="天津立中轻合金锻造有限公司商用车车轮、乘用车车轮、汽车轮毂毛坯件104万只年及小配件50万只年生产线项目竣工环保验收监测报告(1)_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天津立中轻合金锻造有限公司商用车车轮、乘用车车轮、汽车轮毂毛坯件104万只年及小配件50万只年生产线项目竣工环保验收监测报告(1)_142"/>
                    <pic:cNvPicPr>
                      <a:picLocks noChangeAspect="1"/>
                    </pic:cNvPicPr>
                  </pic:nvPicPr>
                  <pic:blipFill>
                    <a:blip r:embed="rId59"/>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7" name="图片 7" descr="天津立中轻合金锻造有限公司商用车车轮、乘用车车轮、汽车轮毂毛坯件104万只年及小配件50万只年生产线项目竣工环保验收监测报告(1)_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天津立中轻合金锻造有限公司商用车车轮、乘用车车轮、汽车轮毂毛坯件104万只年及小配件50万只年生产线项目竣工环保验收监测报告(1)_143"/>
                    <pic:cNvPicPr>
                      <a:picLocks noChangeAspect="1"/>
                    </pic:cNvPicPr>
                  </pic:nvPicPr>
                  <pic:blipFill>
                    <a:blip r:embed="rId60"/>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6" name="图片 6" descr="天津立中轻合金锻造有限公司商用车车轮、乘用车车轮、汽车轮毂毛坯件104万只年及小配件50万只年生产线项目竣工环保验收监测报告(1)_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天津立中轻合金锻造有限公司商用车车轮、乘用车车轮、汽车轮毂毛坯件104万只年及小配件50万只年生产线项目竣工环保验收监测报告(1)_144"/>
                    <pic:cNvPicPr>
                      <a:picLocks noChangeAspect="1"/>
                    </pic:cNvPicPr>
                  </pic:nvPicPr>
                  <pic:blipFill>
                    <a:blip r:embed="rId61"/>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5" name="图片 5" descr="天津立中轻合金锻造有限公司商用车车轮、乘用车车轮、汽车轮毂毛坯件104万只年及小配件50万只年生产线项目竣工环保验收监测报告(1)_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天津立中轻合金锻造有限公司商用车车轮、乘用车车轮、汽车轮毂毛坯件104万只年及小配件50万只年生产线项目竣工环保验收监测报告(1)_145"/>
                    <pic:cNvPicPr>
                      <a:picLocks noChangeAspect="1"/>
                    </pic:cNvPicPr>
                  </pic:nvPicPr>
                  <pic:blipFill>
                    <a:blip r:embed="rId62"/>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4" name="图片 4" descr="天津立中轻合金锻造有限公司商用车车轮、乘用车车轮、汽车轮毂毛坯件104万只年及小配件50万只年生产线项目竣工环保验收监测报告(1)_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天津立中轻合金锻造有限公司商用车车轮、乘用车车轮、汽车轮毂毛坯件104万只年及小配件50万只年生产线项目竣工环保验收监测报告(1)_146"/>
                    <pic:cNvPicPr>
                      <a:picLocks noChangeAspect="1"/>
                    </pic:cNvPicPr>
                  </pic:nvPicPr>
                  <pic:blipFill>
                    <a:blip r:embed="rId63"/>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8700" cy="8639175"/>
            <wp:effectExtent l="0" t="0" r="6350" b="9525"/>
            <wp:docPr id="3" name="图片 3" descr="天津立中轻合金锻造有限公司商用车车轮、乘用车车轮、汽车轮毂毛坯件104万只年及小配件50万只年生产线项目竣工环保验收监测报告(1)_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天津立中轻合金锻造有限公司商用车车轮、乘用车车轮、汽车轮毂毛坯件104万只年及小配件50万只年生产线项目竣工环保验收监测报告(1)_147"/>
                    <pic:cNvPicPr>
                      <a:picLocks noChangeAspect="1"/>
                    </pic:cNvPicPr>
                  </pic:nvPicPr>
                  <pic:blipFill>
                    <a:blip r:embed="rId64"/>
                    <a:stretch>
                      <a:fillRect/>
                    </a:stretch>
                  </pic:blipFill>
                  <pic:spPr>
                    <a:xfrm>
                      <a:off x="0" y="0"/>
                      <a:ext cx="6108700"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2" name="图片 2" descr="天津立中轻合金锻造有限公司商用车车轮、乘用车车轮、汽车轮毂毛坯件104万只年及小配件50万只年生产线项目竣工环保验收监测报告(1)_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天津立中轻合金锻造有限公司商用车车轮、乘用车车轮、汽车轮毂毛坯件104万只年及小配件50万只年生产线项目竣工环保验收监测报告(1)_148"/>
                    <pic:cNvPicPr>
                      <a:picLocks noChangeAspect="1"/>
                    </pic:cNvPicPr>
                  </pic:nvPicPr>
                  <pic:blipFill>
                    <a:blip r:embed="rId65"/>
                    <a:stretch>
                      <a:fillRect/>
                    </a:stretch>
                  </pic:blipFill>
                  <pic:spPr>
                    <a:xfrm>
                      <a:off x="0" y="0"/>
                      <a:ext cx="6106795" cy="8639175"/>
                    </a:xfrm>
                    <a:prstGeom prst="rect">
                      <a:avLst/>
                    </a:prstGeom>
                  </pic:spPr>
                </pic:pic>
              </a:graphicData>
            </a:graphic>
          </wp:inline>
        </w:drawing>
      </w:r>
    </w:p>
    <w:p w14:paraId="71BFAA8E">
      <w:pPr>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br w:type="page"/>
      </w:r>
    </w:p>
    <w:p w14:paraId="0CFAB259">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82" w:name="_Toc19376"/>
      <w:r>
        <w:rPr>
          <w:rFonts w:hint="eastAsia" w:ascii="Times New Roman" w:hAnsi="Times New Roman" w:eastAsia="仿宋" w:cs="Times New Roman"/>
          <w:color w:val="auto"/>
          <w:spacing w:val="0"/>
          <w:w w:val="100"/>
          <w:sz w:val="28"/>
          <w:szCs w:val="28"/>
          <w:highlight w:val="none"/>
          <w:lang w:val="en-US" w:eastAsia="en-US"/>
        </w:rPr>
        <w:t>附件 5 危险废物处置协议</w:t>
      </w:r>
      <w:bookmarkEnd w:id="82"/>
    </w:p>
    <w:p w14:paraId="5A7A9DA0">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62" name="图片 162" descr="PDF合并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 name="图片 162" descr="PDF合并_01"/>
                    <pic:cNvPicPr>
                      <a:picLocks noChangeAspect="1"/>
                    </pic:cNvPicPr>
                  </pic:nvPicPr>
                  <pic:blipFill>
                    <a:blip r:embed="rId66"/>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61" name="图片 161" descr="PDF合并_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 name="图片 161" descr="PDF合并_02"/>
                    <pic:cNvPicPr>
                      <a:picLocks noChangeAspect="1"/>
                    </pic:cNvPicPr>
                  </pic:nvPicPr>
                  <pic:blipFill>
                    <a:blip r:embed="rId67"/>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60" name="图片 160" descr="PDF合并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 name="图片 160" descr="PDF合并_03"/>
                    <pic:cNvPicPr>
                      <a:picLocks noChangeAspect="1"/>
                    </pic:cNvPicPr>
                  </pic:nvPicPr>
                  <pic:blipFill>
                    <a:blip r:embed="rId68"/>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9" name="图片 159" descr="PDF合并_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 name="图片 159" descr="PDF合并_04"/>
                    <pic:cNvPicPr>
                      <a:picLocks noChangeAspect="1"/>
                    </pic:cNvPicPr>
                  </pic:nvPicPr>
                  <pic:blipFill>
                    <a:blip r:embed="rId69"/>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8" name="图片 158" descr="PDF合并_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 name="图片 158" descr="PDF合并_05"/>
                    <pic:cNvPicPr>
                      <a:picLocks noChangeAspect="1"/>
                    </pic:cNvPicPr>
                  </pic:nvPicPr>
                  <pic:blipFill>
                    <a:blip r:embed="rId70"/>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7" name="图片 157" descr="PDF合并_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 name="图片 157" descr="PDF合并_06"/>
                    <pic:cNvPicPr>
                      <a:picLocks noChangeAspect="1"/>
                    </pic:cNvPicPr>
                  </pic:nvPicPr>
                  <pic:blipFill>
                    <a:blip r:embed="rId71"/>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6" name="图片 156" descr="PDF合并_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图片 156" descr="PDF合并_07"/>
                    <pic:cNvPicPr>
                      <a:picLocks noChangeAspect="1"/>
                    </pic:cNvPicPr>
                  </pic:nvPicPr>
                  <pic:blipFill>
                    <a:blip r:embed="rId72"/>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5" name="图片 155" descr="PDF合并_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 name="图片 155" descr="PDF合并_08"/>
                    <pic:cNvPicPr>
                      <a:picLocks noChangeAspect="1"/>
                    </pic:cNvPicPr>
                  </pic:nvPicPr>
                  <pic:blipFill>
                    <a:blip r:embed="rId73"/>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4" name="图片 154" descr="PDF合并_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图片 154" descr="PDF合并_09"/>
                    <pic:cNvPicPr>
                      <a:picLocks noChangeAspect="1"/>
                    </pic:cNvPicPr>
                  </pic:nvPicPr>
                  <pic:blipFill>
                    <a:blip r:embed="rId74"/>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3" name="图片 153" descr="PDF合并_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 name="图片 153" descr="PDF合并_10"/>
                    <pic:cNvPicPr>
                      <a:picLocks noChangeAspect="1"/>
                    </pic:cNvPicPr>
                  </pic:nvPicPr>
                  <pic:blipFill>
                    <a:blip r:embed="rId75"/>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2" name="图片 152" descr="PDF合并_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 name="图片 152" descr="PDF合并_11"/>
                    <pic:cNvPicPr>
                      <a:picLocks noChangeAspect="1"/>
                    </pic:cNvPicPr>
                  </pic:nvPicPr>
                  <pic:blipFill>
                    <a:blip r:embed="rId76"/>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1" name="图片 151" descr="PDF合并_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 name="图片 151" descr="PDF合并_12"/>
                    <pic:cNvPicPr>
                      <a:picLocks noChangeAspect="1"/>
                    </pic:cNvPicPr>
                  </pic:nvPicPr>
                  <pic:blipFill>
                    <a:blip r:embed="rId77"/>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50" name="图片 150" descr="PDF合并_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 name="图片 150" descr="PDF合并_13"/>
                    <pic:cNvPicPr>
                      <a:picLocks noChangeAspect="1"/>
                    </pic:cNvPicPr>
                  </pic:nvPicPr>
                  <pic:blipFill>
                    <a:blip r:embed="rId78"/>
                    <a:stretch>
                      <a:fillRect/>
                    </a:stretch>
                  </pic:blipFill>
                  <pic:spPr>
                    <a:xfrm>
                      <a:off x="0" y="0"/>
                      <a:ext cx="6106795" cy="8639175"/>
                    </a:xfrm>
                    <a:prstGeom prst="rect">
                      <a:avLst/>
                    </a:prstGeom>
                  </pic:spPr>
                </pic:pic>
              </a:graphicData>
            </a:graphic>
          </wp:inline>
        </w:drawing>
      </w: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8639175"/>
            <wp:effectExtent l="0" t="0" r="8255" b="9525"/>
            <wp:docPr id="149" name="图片 149" descr="PDF合并_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 name="图片 149" descr="PDF合并_14"/>
                    <pic:cNvPicPr>
                      <a:picLocks noChangeAspect="1"/>
                    </pic:cNvPicPr>
                  </pic:nvPicPr>
                  <pic:blipFill>
                    <a:blip r:embed="rId79"/>
                    <a:stretch>
                      <a:fillRect/>
                    </a:stretch>
                  </pic:blipFill>
                  <pic:spPr>
                    <a:xfrm>
                      <a:off x="0" y="0"/>
                      <a:ext cx="6106795" cy="8639175"/>
                    </a:xfrm>
                    <a:prstGeom prst="rect">
                      <a:avLst/>
                    </a:prstGeom>
                  </pic:spPr>
                </pic:pic>
              </a:graphicData>
            </a:graphic>
          </wp:inline>
        </w:drawing>
      </w:r>
    </w:p>
    <w:p w14:paraId="2FC1C541">
      <w:pPr>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br w:type="page"/>
      </w:r>
    </w:p>
    <w:p w14:paraId="4A4BAF6A">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83" w:name="_Toc14761"/>
      <w:r>
        <w:rPr>
          <w:rFonts w:hint="eastAsia" w:ascii="Times New Roman" w:hAnsi="Times New Roman" w:eastAsia="仿宋" w:cs="Times New Roman"/>
          <w:color w:val="auto"/>
          <w:spacing w:val="0"/>
          <w:w w:val="100"/>
          <w:sz w:val="28"/>
          <w:szCs w:val="28"/>
          <w:highlight w:val="none"/>
          <w:lang w:val="en-US" w:eastAsia="en-US"/>
        </w:rPr>
        <w:t>附件 6 天津立中轻合金锻造有限公司营业执照</w:t>
      </w:r>
      <w:bookmarkEnd w:id="83"/>
    </w:p>
    <w:p w14:paraId="4596D4F7">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pPr>
      <w:r>
        <w:drawing>
          <wp:inline distT="0" distB="0" distL="114300" distR="114300">
            <wp:extent cx="6112510" cy="8648065"/>
            <wp:effectExtent l="0" t="0" r="2540" b="635"/>
            <wp:docPr id="163"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 name="图片 9"/>
                    <pic:cNvPicPr>
                      <a:picLocks noChangeAspect="1"/>
                    </pic:cNvPicPr>
                  </pic:nvPicPr>
                  <pic:blipFill>
                    <a:blip r:embed="rId80"/>
                    <a:stretch>
                      <a:fillRect/>
                    </a:stretch>
                  </pic:blipFill>
                  <pic:spPr>
                    <a:xfrm>
                      <a:off x="0" y="0"/>
                      <a:ext cx="6112510" cy="8648065"/>
                    </a:xfrm>
                    <a:prstGeom prst="rect">
                      <a:avLst/>
                    </a:prstGeom>
                    <a:noFill/>
                    <a:ln>
                      <a:noFill/>
                    </a:ln>
                  </pic:spPr>
                </pic:pic>
              </a:graphicData>
            </a:graphic>
          </wp:inline>
        </w:drawing>
      </w:r>
    </w:p>
    <w:p w14:paraId="3934F25E">
      <w:r>
        <w:br w:type="page"/>
      </w:r>
    </w:p>
    <w:p w14:paraId="71608628">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84" w:name="_Toc4909"/>
      <w:r>
        <w:rPr>
          <w:rFonts w:hint="eastAsia" w:ascii="Times New Roman" w:hAnsi="Times New Roman" w:eastAsia="仿宋" w:cs="Times New Roman"/>
          <w:color w:val="auto"/>
          <w:spacing w:val="0"/>
          <w:w w:val="100"/>
          <w:sz w:val="28"/>
          <w:szCs w:val="28"/>
          <w:highlight w:val="none"/>
          <w:lang w:val="en-US" w:eastAsia="en-US"/>
        </w:rPr>
        <w:t xml:space="preserve">附件 </w:t>
      </w:r>
      <w:r>
        <w:rPr>
          <w:rFonts w:hint="eastAsia" w:ascii="Times New Roman" w:hAnsi="Times New Roman" w:eastAsia="仿宋" w:cs="Times New Roman"/>
          <w:color w:val="auto"/>
          <w:spacing w:val="0"/>
          <w:w w:val="100"/>
          <w:sz w:val="28"/>
          <w:szCs w:val="28"/>
          <w:highlight w:val="none"/>
          <w:lang w:val="en-US" w:eastAsia="zh-CN"/>
        </w:rPr>
        <w:t>7</w:t>
      </w:r>
      <w:r>
        <w:rPr>
          <w:rFonts w:hint="eastAsia" w:ascii="Times New Roman" w:hAnsi="Times New Roman" w:eastAsia="仿宋" w:cs="Times New Roman"/>
          <w:color w:val="auto"/>
          <w:spacing w:val="0"/>
          <w:w w:val="100"/>
          <w:sz w:val="28"/>
          <w:szCs w:val="28"/>
          <w:highlight w:val="none"/>
          <w:lang w:val="en-US" w:eastAsia="en-US"/>
        </w:rPr>
        <w:t xml:space="preserve"> 应急救援互助协议</w:t>
      </w:r>
      <w:bookmarkEnd w:id="84"/>
    </w:p>
    <w:p w14:paraId="0575D005">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4890" cy="8641080"/>
            <wp:effectExtent l="0" t="0" r="10160" b="7620"/>
            <wp:docPr id="11" name="图片 11" descr="立中文件(1)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descr="立中文件(1)_01"/>
                    <pic:cNvPicPr>
                      <a:picLocks noChangeAspect="1"/>
                    </pic:cNvPicPr>
                  </pic:nvPicPr>
                  <pic:blipFill>
                    <a:blip r:embed="rId81"/>
                    <a:stretch>
                      <a:fillRect/>
                    </a:stretch>
                  </pic:blipFill>
                  <pic:spPr>
                    <a:xfrm>
                      <a:off x="0" y="0"/>
                      <a:ext cx="6104890" cy="8641080"/>
                    </a:xfrm>
                    <a:prstGeom prst="rect">
                      <a:avLst/>
                    </a:prstGeom>
                  </pic:spPr>
                </pic:pic>
              </a:graphicData>
            </a:graphic>
          </wp:inline>
        </w:drawing>
      </w:r>
    </w:p>
    <w:p w14:paraId="6D65C7B1">
      <w:pPr>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br w:type="page"/>
      </w:r>
    </w:p>
    <w:p w14:paraId="285A02AB">
      <w:pPr>
        <w:keepNext w:val="0"/>
        <w:keepLines w:val="0"/>
        <w:pageBreakBefore w:val="0"/>
        <w:widowControl/>
        <w:kinsoku w:val="0"/>
        <w:wordWrap/>
        <w:overflowPunct/>
        <w:topLinePunct w:val="0"/>
        <w:autoSpaceDE w:val="0"/>
        <w:autoSpaceDN w:val="0"/>
        <w:bidi w:val="0"/>
        <w:adjustRightInd w:val="0"/>
        <w:snapToGrid w:val="0"/>
        <w:spacing w:line="360" w:lineRule="auto"/>
        <w:ind w:left="0" w:right="0" w:firstLine="560" w:firstLineChars="200"/>
        <w:jc w:val="both"/>
        <w:textAlignment w:val="baseline"/>
        <w:outlineLvl w:val="1"/>
        <w:rPr>
          <w:rFonts w:hint="eastAsia" w:ascii="Times New Roman" w:hAnsi="Times New Roman" w:eastAsia="仿宋" w:cs="Times New Roman"/>
          <w:color w:val="auto"/>
          <w:spacing w:val="0"/>
          <w:w w:val="100"/>
          <w:sz w:val="28"/>
          <w:szCs w:val="28"/>
          <w:highlight w:val="none"/>
          <w:lang w:val="en-US" w:eastAsia="en-US"/>
        </w:rPr>
      </w:pPr>
      <w:bookmarkStart w:id="85" w:name="_Toc26949"/>
      <w:r>
        <w:rPr>
          <w:rFonts w:hint="eastAsia" w:ascii="Times New Roman" w:hAnsi="Times New Roman" w:eastAsia="仿宋" w:cs="Times New Roman"/>
          <w:color w:val="auto"/>
          <w:spacing w:val="0"/>
          <w:w w:val="100"/>
          <w:sz w:val="28"/>
          <w:szCs w:val="28"/>
          <w:highlight w:val="none"/>
          <w:lang w:val="en-US" w:eastAsia="en-US"/>
        </w:rPr>
        <w:t xml:space="preserve">附件 </w:t>
      </w:r>
      <w:r>
        <w:rPr>
          <w:rFonts w:hint="eastAsia" w:ascii="Times New Roman" w:hAnsi="Times New Roman" w:eastAsia="仿宋" w:cs="Times New Roman"/>
          <w:color w:val="auto"/>
          <w:spacing w:val="0"/>
          <w:w w:val="100"/>
          <w:sz w:val="28"/>
          <w:szCs w:val="28"/>
          <w:highlight w:val="none"/>
          <w:lang w:val="en-US" w:eastAsia="zh-CN"/>
        </w:rPr>
        <w:t>8</w:t>
      </w:r>
      <w:r>
        <w:rPr>
          <w:rFonts w:hint="eastAsia" w:ascii="Times New Roman" w:hAnsi="Times New Roman" w:eastAsia="仿宋" w:cs="Times New Roman"/>
          <w:color w:val="auto"/>
          <w:spacing w:val="0"/>
          <w:w w:val="100"/>
          <w:sz w:val="28"/>
          <w:szCs w:val="28"/>
          <w:highlight w:val="none"/>
          <w:lang w:val="en-US" w:eastAsia="en-US"/>
        </w:rPr>
        <w:t xml:space="preserve"> 应急监测协议书</w:t>
      </w:r>
      <w:bookmarkEnd w:id="85"/>
    </w:p>
    <w:p w14:paraId="03CC46AB">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zh-CN"/>
        </w:rPr>
      </w:pPr>
      <w:r>
        <w:rPr>
          <w:rFonts w:hint="eastAsia" w:ascii="Times New Roman" w:hAnsi="Times New Roman" w:eastAsia="仿宋" w:cs="Times New Roman"/>
          <w:color w:val="auto"/>
          <w:spacing w:val="0"/>
          <w:w w:val="100"/>
          <w:sz w:val="28"/>
          <w:szCs w:val="28"/>
          <w:highlight w:val="none"/>
          <w:lang w:val="en-US" w:eastAsia="zh-CN"/>
        </w:rPr>
        <w:drawing>
          <wp:inline distT="0" distB="0" distL="114300" distR="114300">
            <wp:extent cx="6106795" cy="7842250"/>
            <wp:effectExtent l="0" t="0" r="0" b="0"/>
            <wp:docPr id="12" name="图片 12" descr="应急监测协议书_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descr="应急监测协议书_01"/>
                    <pic:cNvPicPr>
                      <a:picLocks noChangeAspect="1"/>
                    </pic:cNvPicPr>
                  </pic:nvPicPr>
                  <pic:blipFill>
                    <a:blip r:embed="rId82"/>
                    <a:srcRect b="9205"/>
                    <a:stretch>
                      <a:fillRect/>
                    </a:stretch>
                  </pic:blipFill>
                  <pic:spPr>
                    <a:xfrm>
                      <a:off x="0" y="0"/>
                      <a:ext cx="6106795" cy="7842250"/>
                    </a:xfrm>
                    <a:prstGeom prst="rect">
                      <a:avLst/>
                    </a:prstGeom>
                  </pic:spPr>
                </pic:pic>
              </a:graphicData>
            </a:graphic>
          </wp:inline>
        </w:drawing>
      </w:r>
    </w:p>
    <w:p w14:paraId="4ED8333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en-US"/>
        </w:rPr>
      </w:pPr>
    </w:p>
    <w:p w14:paraId="65E5A44B">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en-US"/>
        </w:rPr>
      </w:pPr>
    </w:p>
    <w:p w14:paraId="22199624">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en-US"/>
        </w:rPr>
      </w:pPr>
    </w:p>
    <w:p w14:paraId="6BB12A81">
      <w:pPr>
        <w:keepNext w:val="0"/>
        <w:keepLines w:val="0"/>
        <w:pageBreakBefore w:val="0"/>
        <w:widowControl w:val="0"/>
        <w:kinsoku w:val="0"/>
        <w:wordWrap/>
        <w:overflowPunct/>
        <w:topLinePunct w:val="0"/>
        <w:autoSpaceDE w:val="0"/>
        <w:autoSpaceDN w:val="0"/>
        <w:bidi w:val="0"/>
        <w:adjustRightInd w:val="0"/>
        <w:snapToGrid w:val="0"/>
        <w:spacing w:line="240" w:lineRule="auto"/>
        <w:ind w:left="0" w:right="0" w:firstLine="0" w:firstLineChars="0"/>
        <w:jc w:val="center"/>
        <w:textAlignment w:val="baseline"/>
        <w:outlineLvl w:val="9"/>
        <w:rPr>
          <w:rFonts w:hint="eastAsia" w:ascii="Times New Roman" w:hAnsi="Times New Roman" w:eastAsia="仿宋" w:cs="Times New Roman"/>
          <w:color w:val="auto"/>
          <w:spacing w:val="0"/>
          <w:w w:val="100"/>
          <w:sz w:val="28"/>
          <w:szCs w:val="28"/>
          <w:highlight w:val="none"/>
          <w:lang w:val="en-US" w:eastAsia="en-US"/>
        </w:rPr>
      </w:pPr>
    </w:p>
    <w:sectPr>
      <w:headerReference r:id="rId14" w:type="default"/>
      <w:footerReference r:id="rId15" w:type="default"/>
      <w:pgSz w:w="11906" w:h="16838"/>
      <w:pgMar w:top="1134" w:right="1134" w:bottom="1134" w:left="1134" w:header="0" w:footer="0" w:gutter="0"/>
      <w:pgNumType w:fmt="decimal"/>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3EDCFBC">
    <w:pPr>
      <w:spacing w:line="14" w:lineRule="auto"/>
      <w:rPr>
        <w:rFonts w:ascii="Arial"/>
        <w:sz w:val="2"/>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DFB0E3">
    <w:pPr>
      <w:spacing w:line="14" w:lineRule="auto"/>
      <w:rPr>
        <w:rFonts w:ascii="Arial"/>
        <w:sz w:val="2"/>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85AD50">
    <w:pPr>
      <w:keepNext w:val="0"/>
      <w:keepLines w:val="0"/>
      <w:pageBreakBefore w:val="0"/>
      <w:widowControl w:val="0"/>
      <w:kinsoku w:val="0"/>
      <w:wordWrap/>
      <w:overflowPunct/>
      <w:topLinePunct w:val="0"/>
      <w:bidi w:val="0"/>
      <w:adjustRightInd w:val="0"/>
      <w:snapToGrid w:val="0"/>
      <w:spacing w:line="240" w:lineRule="auto"/>
      <w:jc w:val="center"/>
      <w:textAlignment w:val="baseline"/>
      <w:rPr>
        <w:rFonts w:hint="default" w:ascii="Times New Roman" w:hAnsi="Times New Roman" w:cs="Times New Roman"/>
        <w:sz w:val="18"/>
        <w:szCs w:val="18"/>
      </w:rPr>
    </w:pPr>
    <w:r>
      <w:rPr>
        <w:sz w:val="2"/>
      </w:rPr>
      <mc:AlternateContent>
        <mc:Choice Requires="wps">
          <w:drawing>
            <wp:inline distT="0" distB="0" distL="114300" distR="114300">
              <wp:extent cx="1828800" cy="1828800"/>
              <wp:effectExtent l="0" t="0" r="0" b="0"/>
              <wp:docPr id="10" name="文本框 1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D855556">
                          <w:pPr>
                            <w:pStyle w:val="12"/>
                            <w:keepNext w:val="0"/>
                            <w:keepLines w:val="0"/>
                            <w:pageBreakBefore w:val="0"/>
                            <w:widowControl w:val="0"/>
                            <w:kinsoku w:val="0"/>
                            <w:wordWrap/>
                            <w:overflowPunct/>
                            <w:topLinePunct w:val="0"/>
                            <w:bidi w:val="0"/>
                            <w:adjustRightInd w:val="0"/>
                            <w:snapToGrid w:val="0"/>
                            <w:jc w:val="both"/>
                            <w:textAlignment w:val="baseline"/>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inline>
          </w:drawing>
        </mc:Choice>
        <mc:Fallback>
          <w:pict>
            <v:shape id="_x0000_s1026" o:spid="_x0000_s1026" o:spt="202" type="#_x0000_t202" style="height:144pt;width:144pt;mso-wrap-style:non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mor5U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iQxTKPil+/fLj9+&#10;XX5+JTiDQLULc8TtHCJj89Y2CB7OAw4T76b0On3BiMAPrPNVXtFEwtOl2XQ2G8PF4Rs2wM8erzsf&#10;4jthNUlGTj3q18rKTtsQu9AhJGUzdiOVamuoDKlzevP6zbi9cPUAXBnkSCS6xyYrNvumZ7a3xRnE&#10;vO16Izi+kUi+ZSE+MI9mwIMxLvEeS6ksktjeoqSy/su/zlM8agQvJTWaK6cGs0SJem9QOwDGwfCD&#10;sR8Mc9R3Ft06wRg63pq44KMazNJb/RkztEo54GKGI1NO42Dexa7BMYNcrFZt0NF5eai6C+g8x+LW&#10;7BxPaZKQwa2OEWK2GieBOlV63dB7bZX6OUnN/ee+jXr8Nyx/A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pqK+VMQIAAGMEAAAOAAAAAAAAAAEAIAAAAB8BAABkcnMvZTJvRG9jLnhtbFBLBQYA&#10;AAAABgAGAFkBAADCBQAAAAA=&#10;">
              <v:fill on="f" focussize="0,0"/>
              <v:stroke on="f" weight="0.5pt"/>
              <v:imagedata o:title=""/>
              <o:lock v:ext="edit" aspectratio="f"/>
              <v:textbox inset="0mm,0mm,0mm,0mm" style="mso-fit-shape-to-text:t;">
                <w:txbxContent>
                  <w:p w14:paraId="0D855556">
                    <w:pPr>
                      <w:pStyle w:val="12"/>
                      <w:keepNext w:val="0"/>
                      <w:keepLines w:val="0"/>
                      <w:pageBreakBefore w:val="0"/>
                      <w:widowControl w:val="0"/>
                      <w:kinsoku w:val="0"/>
                      <w:wordWrap/>
                      <w:overflowPunct/>
                      <w:topLinePunct w:val="0"/>
                      <w:bidi w:val="0"/>
                      <w:adjustRightInd w:val="0"/>
                      <w:snapToGrid w:val="0"/>
                      <w:jc w:val="both"/>
                      <w:textAlignment w:val="baseline"/>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5</w:t>
                    </w:r>
                    <w:r>
                      <w:rPr>
                        <w:rFonts w:hint="default" w:ascii="Times New Roman" w:hAnsi="Times New Roman" w:cs="Times New Roman"/>
                      </w:rPr>
                      <w:fldChar w:fldCharType="end"/>
                    </w:r>
                  </w:p>
                </w:txbxContent>
              </v:textbox>
              <w10:wrap type="none"/>
              <w10:anchorlock/>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2E8240B">
    <w:pPr>
      <w:spacing w:line="14" w:lineRule="auto"/>
      <w:rPr>
        <w:rFonts w:ascii="Arial"/>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A5978A">
    <w:pPr>
      <w:pStyle w:val="12"/>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8" name="文本框 18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3202EB">
                          <w:pPr>
                            <w:pStyle w:val="12"/>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89jdEyAgAAZ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gyFN0yj5Jfv3y4/&#10;fl1+fiXpEBLVLswRuXOIjc1b2yB8OA84TMyb0uv0BScCPwQ+XwUWTSQ8XZpNZ7MxXBy+YQP87PG6&#10;8yG+E1aTZOTUo4KtsOy0DbELHUJSNmM3Uqm2isqQOqc3r9+M2wtXD8CVQY5EontssmKzb3pme1uc&#10;QczbrjuC4xuJ5FsW4gPzaAc8GAMT77GUyiKJ7S1KKuu//Os8xaNK8FJSo71yajBNlKj3BtUDYBwM&#10;Pxj7wTBHfWfRrxMMouOtiQs+qsEsvdWfMUWrlAMuZjgy5TQO5l3sWhxTyMVq1QYdnZeHqruA3nMs&#10;bs3O8ZQmCRnc6hghZqtxEqhTpdcN3ddWqZ+U1N5/7tuox7/D8j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3z2N0TICAABlBAAADgAAAAAAAAABACAAAAAfAQAAZHJzL2Uyb0RvYy54bWxQSwUG&#10;AAAAAAYABgBZAQAAwwUAAAAA&#10;">
              <v:fill on="f" focussize="0,0"/>
              <v:stroke on="f" weight="0.5pt"/>
              <v:imagedata o:title=""/>
              <o:lock v:ext="edit" aspectratio="f"/>
              <v:textbox inset="0mm,0mm,0mm,0mm" style="mso-fit-shape-to-text:t;">
                <w:txbxContent>
                  <w:p w14:paraId="093202EB">
                    <w:pPr>
                      <w:pStyle w:val="12"/>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7</w:t>
                    </w:r>
                    <w:r>
                      <w:rPr>
                        <w:rFonts w:hint="default" w:ascii="Times New Roman" w:hAnsi="Times New Roman" w:cs="Times New Roma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A251EC2">
    <w:pPr>
      <w:spacing w:line="14" w:lineRule="auto"/>
      <w:rPr>
        <w:rFonts w:ascii="Arial"/>
        <w:sz w:val="2"/>
      </w:rPr>
    </w:pPr>
    <w:r>
      <w:rPr>
        <w:sz w:val="2"/>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92" name="文本框 19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5EC5CD">
                          <w:pPr>
                            <w:pStyle w:val="12"/>
                          </w:pPr>
                          <w:r>
                            <w:fldChar w:fldCharType="begin"/>
                          </w:r>
                          <w:r>
                            <w:instrText xml:space="preserve"> PAGE  \* MERGEFORMAT </w:instrText>
                          </w:r>
                          <w:r>
                            <w:fldChar w:fldCharType="separate"/>
                          </w:r>
                          <w:r>
                            <w:t>44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PqT7t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OKDFMo+SnH99P&#10;Px9Ov76RdAiJGhdmiLx3iI3tO9sifDgPOEzM28rr9AUnAj8EPl4EFm0kPF2aTqbTHC4O37ABfvZ4&#10;3fkQ3wurSTIK6lHBTlh22ITYhw4hKZuxa6lUV0VlSFPQq9dv8u7CxQNwZZAjkegfm6zYbtszs60t&#10;jyDmbd8dwfG1RPINC/GOebQDHoyBibdYKmWRxJ4tSmrrv/7rPMWjSvBS0qC9CmowTZSoDwbVA2Ac&#10;DD8Y28Ewe31j0a9jDKLjnYkLPqrBrLzVXzBFy5QDLmY4MhU0DuZN7FscU8jFctkF7Z2Xu7q/gN5z&#10;LG7MveMpTRIyuOU+QsxO4yRQr8pZN3RfV6XzpKT2/nPfRT3+HRa/AV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D6k+7WNAIAAGUEAAAOAAAAAAAAAAEAIAAAAB8BAABkcnMvZTJvRG9jLnhtbFBL&#10;BQYAAAAABgAGAFkBAADFBQAAAAA=&#10;">
              <v:fill on="f" focussize="0,0"/>
              <v:stroke on="f" weight="0.5pt"/>
              <v:imagedata o:title=""/>
              <o:lock v:ext="edit" aspectratio="f"/>
              <v:textbox inset="0mm,0mm,0mm,0mm" style="mso-fit-shape-to-text:t;">
                <w:txbxContent>
                  <w:p w14:paraId="575EC5CD">
                    <w:pPr>
                      <w:pStyle w:val="12"/>
                    </w:pPr>
                    <w:r>
                      <w:fldChar w:fldCharType="begin"/>
                    </w:r>
                    <w:r>
                      <w:instrText xml:space="preserve"> PAGE  \* MERGEFORMAT </w:instrText>
                    </w:r>
                    <w:r>
                      <w:fldChar w:fldCharType="separate"/>
                    </w:r>
                    <w:r>
                      <w:t>44</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3AD946">
    <w:pPr>
      <w:pStyle w:val="13"/>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8098CF">
    <w:pPr>
      <w:pStyle w:val="1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82ED36">
    <w:pPr>
      <w:pStyle w:val="13"/>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59227F">
    <w:pPr>
      <w:keepNext w:val="0"/>
      <w:keepLines w:val="0"/>
      <w:pageBreakBefore w:val="0"/>
      <w:widowControl/>
      <w:pBdr>
        <w:bottom w:val="thinThickLargeGap" w:color="auto" w:sz="4" w:space="0"/>
      </w:pBdr>
      <w:kinsoku w:val="0"/>
      <w:wordWrap/>
      <w:overflowPunct/>
      <w:topLinePunct w:val="0"/>
      <w:bidi w:val="0"/>
      <w:adjustRightInd w:val="0"/>
      <w:snapToGrid w:val="0"/>
      <w:spacing w:line="240" w:lineRule="auto"/>
      <w:ind w:right="0"/>
      <w:jc w:val="center"/>
      <w:textAlignment w:val="baseline"/>
      <w:rPr>
        <w:rFonts w:hint="default" w:ascii="Times New Roman" w:hAnsi="Times New Roman" w:eastAsia="仿宋" w:cs="Times New Roman"/>
        <w:sz w:val="18"/>
        <w:szCs w:val="18"/>
      </w:rPr>
    </w:pPr>
    <w:r>
      <w:rPr>
        <w:rFonts w:hint="default" w:ascii="Times New Roman" w:hAnsi="Times New Roman" w:eastAsia="仿宋" w:cs="Times New Roman"/>
        <w:b/>
        <w:bCs/>
        <w:spacing w:val="3"/>
        <w:sz w:val="18"/>
        <w:szCs w:val="18"/>
      </w:rPr>
      <w:t>天津立中轻合金锻造有限公司突发环境事件应急预案</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20608">
    <w:pPr>
      <w:pStyle w:val="9"/>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573151B"/>
    <w:multiLevelType w:val="singleLevel"/>
    <w:tmpl w:val="4573151B"/>
    <w:lvl w:ilvl="0" w:tentative="0">
      <w:start w:val="1"/>
      <w:numFmt w:val="decimal"/>
      <w:suff w:val="nothing"/>
      <w:lvlText w:val="（%1）"/>
      <w:lvlJc w:val="left"/>
    </w:lvl>
  </w:abstractNum>
  <w:abstractNum w:abstractNumId="1">
    <w:nsid w:val="7828D0D8"/>
    <w:multiLevelType w:val="multilevel"/>
    <w:tmpl w:val="7828D0D8"/>
    <w:lvl w:ilvl="0" w:tentative="0">
      <w:start w:val="1"/>
      <w:numFmt w:val="decimal"/>
      <w:pStyle w:val="2"/>
      <w:suff w:val="nothing"/>
      <w:lvlText w:val="%1."/>
      <w:lvlJc w:val="left"/>
      <w:pPr>
        <w:ind w:left="432" w:hanging="432"/>
      </w:pPr>
      <w:rPr>
        <w:rFonts w:hint="default"/>
      </w:rPr>
    </w:lvl>
    <w:lvl w:ilvl="1" w:tentative="0">
      <w:start w:val="1"/>
      <w:numFmt w:val="decimal"/>
      <w:lvlText w:val="%1.%2."/>
      <w:lvlJc w:val="left"/>
      <w:pPr>
        <w:ind w:left="575" w:hanging="575"/>
      </w:pPr>
      <w:rPr>
        <w:rFonts w:hint="default"/>
      </w:rPr>
    </w:lvl>
    <w:lvl w:ilvl="2" w:tentative="0">
      <w:start w:val="1"/>
      <w:numFmt w:val="decimal"/>
      <w:pStyle w:val="4"/>
      <w:lvlText w:val="%1.%2.%3."/>
      <w:lvlJc w:val="left"/>
      <w:pPr>
        <w:ind w:left="720" w:hanging="720"/>
      </w:pPr>
      <w:rPr>
        <w:rFonts w:hint="default"/>
      </w:rPr>
    </w:lvl>
    <w:lvl w:ilvl="3" w:tentative="0">
      <w:start w:val="1"/>
      <w:numFmt w:val="decimal"/>
      <w:lvlText w:val="%1.%2.%3.%4."/>
      <w:lvlJc w:val="left"/>
      <w:pPr>
        <w:ind w:left="864" w:hanging="864"/>
      </w:pPr>
      <w:rPr>
        <w:rFonts w:hint="default"/>
        <w:sz w:val="28"/>
        <w:szCs w:val="28"/>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3"/>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692977"/>
    <w:rsid w:val="00AE30C4"/>
    <w:rsid w:val="00C47CE8"/>
    <w:rsid w:val="00CD6406"/>
    <w:rsid w:val="012A19DD"/>
    <w:rsid w:val="01D46B46"/>
    <w:rsid w:val="02121FEB"/>
    <w:rsid w:val="029738DB"/>
    <w:rsid w:val="02B80216"/>
    <w:rsid w:val="02F239FA"/>
    <w:rsid w:val="02F97A21"/>
    <w:rsid w:val="04E37E54"/>
    <w:rsid w:val="05A25700"/>
    <w:rsid w:val="05C25634"/>
    <w:rsid w:val="05C70E9C"/>
    <w:rsid w:val="06C259EB"/>
    <w:rsid w:val="071F1DBD"/>
    <w:rsid w:val="07286B28"/>
    <w:rsid w:val="072D1869"/>
    <w:rsid w:val="07A95FE9"/>
    <w:rsid w:val="07C05BA3"/>
    <w:rsid w:val="07E8334B"/>
    <w:rsid w:val="08830A69"/>
    <w:rsid w:val="0ABC2F87"/>
    <w:rsid w:val="0B973B7F"/>
    <w:rsid w:val="0BBA1C50"/>
    <w:rsid w:val="0BC83278"/>
    <w:rsid w:val="0C5965C6"/>
    <w:rsid w:val="0CD7592C"/>
    <w:rsid w:val="0D177BA2"/>
    <w:rsid w:val="0D226B64"/>
    <w:rsid w:val="0E05293B"/>
    <w:rsid w:val="0E4A266A"/>
    <w:rsid w:val="0ECD6DF7"/>
    <w:rsid w:val="0EE63C63"/>
    <w:rsid w:val="0EF240C1"/>
    <w:rsid w:val="0F135152"/>
    <w:rsid w:val="0F532D2B"/>
    <w:rsid w:val="0FA1275E"/>
    <w:rsid w:val="102A2868"/>
    <w:rsid w:val="10D058DB"/>
    <w:rsid w:val="117D509E"/>
    <w:rsid w:val="11994D85"/>
    <w:rsid w:val="11A60988"/>
    <w:rsid w:val="12592F62"/>
    <w:rsid w:val="128B4546"/>
    <w:rsid w:val="14107EB2"/>
    <w:rsid w:val="149A1EBD"/>
    <w:rsid w:val="15565D98"/>
    <w:rsid w:val="159A54E8"/>
    <w:rsid w:val="16C866D1"/>
    <w:rsid w:val="17854713"/>
    <w:rsid w:val="17E67C93"/>
    <w:rsid w:val="17EB710A"/>
    <w:rsid w:val="18066A2A"/>
    <w:rsid w:val="18DE057F"/>
    <w:rsid w:val="190F5DB6"/>
    <w:rsid w:val="1A040452"/>
    <w:rsid w:val="1C3F0146"/>
    <w:rsid w:val="1C726B8E"/>
    <w:rsid w:val="1C9F6277"/>
    <w:rsid w:val="1CF135E6"/>
    <w:rsid w:val="1DC37D43"/>
    <w:rsid w:val="1E2E2A61"/>
    <w:rsid w:val="1E370024"/>
    <w:rsid w:val="1E8200B1"/>
    <w:rsid w:val="203812CA"/>
    <w:rsid w:val="204607B7"/>
    <w:rsid w:val="2099122F"/>
    <w:rsid w:val="20EC5803"/>
    <w:rsid w:val="21B04A82"/>
    <w:rsid w:val="223359F5"/>
    <w:rsid w:val="22EA5D7B"/>
    <w:rsid w:val="23FF13A9"/>
    <w:rsid w:val="24043506"/>
    <w:rsid w:val="24D40A88"/>
    <w:rsid w:val="24EC4023"/>
    <w:rsid w:val="250273A3"/>
    <w:rsid w:val="265A6D6B"/>
    <w:rsid w:val="27523214"/>
    <w:rsid w:val="27C43035"/>
    <w:rsid w:val="27D33279"/>
    <w:rsid w:val="27D35027"/>
    <w:rsid w:val="283507FF"/>
    <w:rsid w:val="28915358"/>
    <w:rsid w:val="28C03598"/>
    <w:rsid w:val="29A54A8D"/>
    <w:rsid w:val="29C72386"/>
    <w:rsid w:val="29F05639"/>
    <w:rsid w:val="2C3D582D"/>
    <w:rsid w:val="2C642F06"/>
    <w:rsid w:val="2D2B320F"/>
    <w:rsid w:val="2D7921CC"/>
    <w:rsid w:val="2E185854"/>
    <w:rsid w:val="2E72548D"/>
    <w:rsid w:val="2E8C5F2F"/>
    <w:rsid w:val="2F3445FD"/>
    <w:rsid w:val="305A18DA"/>
    <w:rsid w:val="30FE727E"/>
    <w:rsid w:val="318A49A8"/>
    <w:rsid w:val="324F79A0"/>
    <w:rsid w:val="32760F95"/>
    <w:rsid w:val="327D01A5"/>
    <w:rsid w:val="32DA370D"/>
    <w:rsid w:val="334B460B"/>
    <w:rsid w:val="339A2E9C"/>
    <w:rsid w:val="340A36C2"/>
    <w:rsid w:val="344828F8"/>
    <w:rsid w:val="344D7056"/>
    <w:rsid w:val="344E43B3"/>
    <w:rsid w:val="34AE4E51"/>
    <w:rsid w:val="34C06A19"/>
    <w:rsid w:val="34D93CA3"/>
    <w:rsid w:val="358E09E6"/>
    <w:rsid w:val="35CE6E2D"/>
    <w:rsid w:val="36415851"/>
    <w:rsid w:val="3647586B"/>
    <w:rsid w:val="36CA1CEB"/>
    <w:rsid w:val="385D1519"/>
    <w:rsid w:val="38A7478F"/>
    <w:rsid w:val="390A2CF5"/>
    <w:rsid w:val="395F2BBE"/>
    <w:rsid w:val="39882115"/>
    <w:rsid w:val="3B083585"/>
    <w:rsid w:val="3BC748F5"/>
    <w:rsid w:val="3BDC53B4"/>
    <w:rsid w:val="3BE455FD"/>
    <w:rsid w:val="3CBB1C4D"/>
    <w:rsid w:val="3CF4186F"/>
    <w:rsid w:val="3D50494E"/>
    <w:rsid w:val="3D5A3DC8"/>
    <w:rsid w:val="3D6A3C59"/>
    <w:rsid w:val="3D731FF5"/>
    <w:rsid w:val="3D755C30"/>
    <w:rsid w:val="3E7C1B1C"/>
    <w:rsid w:val="3E8E35FE"/>
    <w:rsid w:val="3EE51D79"/>
    <w:rsid w:val="3EE85404"/>
    <w:rsid w:val="3F0A6ADE"/>
    <w:rsid w:val="3F810087"/>
    <w:rsid w:val="414E0F67"/>
    <w:rsid w:val="435C3CCA"/>
    <w:rsid w:val="437817D5"/>
    <w:rsid w:val="4391606A"/>
    <w:rsid w:val="43AE7719"/>
    <w:rsid w:val="44C47D79"/>
    <w:rsid w:val="45232819"/>
    <w:rsid w:val="45967968"/>
    <w:rsid w:val="45F91CA4"/>
    <w:rsid w:val="460C79AA"/>
    <w:rsid w:val="460E1316"/>
    <w:rsid w:val="462148A5"/>
    <w:rsid w:val="46717D66"/>
    <w:rsid w:val="46B2212C"/>
    <w:rsid w:val="46F56910"/>
    <w:rsid w:val="480F57AF"/>
    <w:rsid w:val="49E56F26"/>
    <w:rsid w:val="4A056E6A"/>
    <w:rsid w:val="4A2D63C1"/>
    <w:rsid w:val="4A4A18C2"/>
    <w:rsid w:val="4A930987"/>
    <w:rsid w:val="4A9D4A92"/>
    <w:rsid w:val="4AE4717D"/>
    <w:rsid w:val="4BBE277F"/>
    <w:rsid w:val="4BC52D55"/>
    <w:rsid w:val="4C453E95"/>
    <w:rsid w:val="4C7A1494"/>
    <w:rsid w:val="4D8308BE"/>
    <w:rsid w:val="4E9E788D"/>
    <w:rsid w:val="4F2E0C11"/>
    <w:rsid w:val="505446A7"/>
    <w:rsid w:val="516528E4"/>
    <w:rsid w:val="52426781"/>
    <w:rsid w:val="524D7600"/>
    <w:rsid w:val="55A31B28"/>
    <w:rsid w:val="56501831"/>
    <w:rsid w:val="56731087"/>
    <w:rsid w:val="56EA776E"/>
    <w:rsid w:val="575D6537"/>
    <w:rsid w:val="57912D79"/>
    <w:rsid w:val="5870786D"/>
    <w:rsid w:val="58771F33"/>
    <w:rsid w:val="591F387A"/>
    <w:rsid w:val="59245108"/>
    <w:rsid w:val="59BC77F6"/>
    <w:rsid w:val="5A2A7696"/>
    <w:rsid w:val="5A740E30"/>
    <w:rsid w:val="5A897643"/>
    <w:rsid w:val="5A9304C2"/>
    <w:rsid w:val="5ADA1C4D"/>
    <w:rsid w:val="5B0F5D9A"/>
    <w:rsid w:val="5B595267"/>
    <w:rsid w:val="5C874799"/>
    <w:rsid w:val="5CE211C9"/>
    <w:rsid w:val="5E315646"/>
    <w:rsid w:val="5F0F0A09"/>
    <w:rsid w:val="5F6D710E"/>
    <w:rsid w:val="5F6E561E"/>
    <w:rsid w:val="61C91ABF"/>
    <w:rsid w:val="62572937"/>
    <w:rsid w:val="62C455AE"/>
    <w:rsid w:val="63443A46"/>
    <w:rsid w:val="63DB2867"/>
    <w:rsid w:val="641A130C"/>
    <w:rsid w:val="64533CB0"/>
    <w:rsid w:val="653A3039"/>
    <w:rsid w:val="654B3304"/>
    <w:rsid w:val="66886271"/>
    <w:rsid w:val="68B6208E"/>
    <w:rsid w:val="69631D22"/>
    <w:rsid w:val="696E6382"/>
    <w:rsid w:val="697C6BB5"/>
    <w:rsid w:val="69F543AD"/>
    <w:rsid w:val="6A9B42F9"/>
    <w:rsid w:val="6AC439DF"/>
    <w:rsid w:val="6B023814"/>
    <w:rsid w:val="6B030ECC"/>
    <w:rsid w:val="6B0C26B5"/>
    <w:rsid w:val="6CBE10EF"/>
    <w:rsid w:val="6CDB4FC8"/>
    <w:rsid w:val="6CE935DB"/>
    <w:rsid w:val="6CEB7CE9"/>
    <w:rsid w:val="6D00406A"/>
    <w:rsid w:val="6D2D3C78"/>
    <w:rsid w:val="6DA32593"/>
    <w:rsid w:val="6EEA213C"/>
    <w:rsid w:val="6F280D81"/>
    <w:rsid w:val="6FE4739E"/>
    <w:rsid w:val="6FFC204F"/>
    <w:rsid w:val="70035749"/>
    <w:rsid w:val="7047792D"/>
    <w:rsid w:val="707A385E"/>
    <w:rsid w:val="71C34D91"/>
    <w:rsid w:val="71E4391E"/>
    <w:rsid w:val="72302B43"/>
    <w:rsid w:val="72A06B51"/>
    <w:rsid w:val="72AA67FC"/>
    <w:rsid w:val="7328666C"/>
    <w:rsid w:val="73BB0416"/>
    <w:rsid w:val="73CE3C03"/>
    <w:rsid w:val="74035919"/>
    <w:rsid w:val="74122000"/>
    <w:rsid w:val="743467DF"/>
    <w:rsid w:val="758B24A7"/>
    <w:rsid w:val="75CB706E"/>
    <w:rsid w:val="7730111A"/>
    <w:rsid w:val="77FD261B"/>
    <w:rsid w:val="78301AF2"/>
    <w:rsid w:val="791C3B8B"/>
    <w:rsid w:val="791E2A54"/>
    <w:rsid w:val="794013BD"/>
    <w:rsid w:val="7943071A"/>
    <w:rsid w:val="79954E6C"/>
    <w:rsid w:val="79EC0E93"/>
    <w:rsid w:val="7A590988"/>
    <w:rsid w:val="7A675300"/>
    <w:rsid w:val="7B38234C"/>
    <w:rsid w:val="7BBD2838"/>
    <w:rsid w:val="7C76154A"/>
    <w:rsid w:val="7D192AAE"/>
    <w:rsid w:val="7DC51384"/>
    <w:rsid w:val="7DD00A7F"/>
    <w:rsid w:val="7DEB4984"/>
    <w:rsid w:val="7E6E42D6"/>
    <w:rsid w:val="7E840124"/>
    <w:rsid w:val="7E9674B6"/>
    <w:rsid w:val="7EA1645A"/>
    <w:rsid w:val="7F0E15C3"/>
    <w:rsid w:val="7F765D25"/>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paragraph" w:styleId="2">
    <w:name w:val="heading 1"/>
    <w:basedOn w:val="1"/>
    <w:next w:val="1"/>
    <w:qFormat/>
    <w:uiPriority w:val="0"/>
    <w:pPr>
      <w:numPr>
        <w:ilvl w:val="0"/>
        <w:numId w:val="1"/>
      </w:numPr>
      <w:ind w:left="432" w:hanging="432" w:firstLineChars="0"/>
      <w:outlineLvl w:val="0"/>
    </w:pPr>
    <w:rPr>
      <w:rFonts w:ascii="Times New Roman" w:hAnsi="Times New Roman" w:eastAsia="宋体" w:cs="Times New Roman"/>
      <w:b/>
      <w:bCs/>
      <w:kern w:val="44"/>
      <w:sz w:val="32"/>
      <w:szCs w:val="22"/>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numPr>
        <w:ilvl w:val="2"/>
        <w:numId w:val="1"/>
      </w:numPr>
      <w:spacing w:before="260" w:beforeLines="0" w:beforeAutospacing="0" w:after="260" w:afterLines="0" w:afterAutospacing="0" w:line="413" w:lineRule="auto"/>
      <w:ind w:left="720" w:hanging="720"/>
      <w:outlineLvl w:val="2"/>
    </w:pPr>
    <w:rPr>
      <w:b/>
      <w:sz w:val="32"/>
    </w:rPr>
  </w:style>
  <w:style w:type="paragraph" w:styleId="5">
    <w:name w:val="heading 4"/>
    <w:basedOn w:val="1"/>
    <w:next w:val="1"/>
    <w:semiHidden/>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character" w:default="1" w:styleId="17">
    <w:name w:val="Default Paragraph Font"/>
    <w:semiHidden/>
    <w:qFormat/>
    <w:uiPriority w:val="0"/>
  </w:style>
  <w:style w:type="table" w:default="1" w:styleId="15">
    <w:name w:val="Normal Table"/>
    <w:semiHidden/>
    <w:qFormat/>
    <w:uiPriority w:val="0"/>
    <w:tblPr>
      <w:tblCellMar>
        <w:top w:w="0" w:type="dxa"/>
        <w:left w:w="108" w:type="dxa"/>
        <w:bottom w:w="0" w:type="dxa"/>
        <w:right w:w="108" w:type="dxa"/>
      </w:tblCellMar>
    </w:tblPr>
  </w:style>
  <w:style w:type="paragraph" w:styleId="6">
    <w:name w:val="Normal Indent"/>
    <w:basedOn w:val="1"/>
    <w:next w:val="7"/>
    <w:qFormat/>
    <w:uiPriority w:val="0"/>
    <w:pPr>
      <w:autoSpaceDE w:val="0"/>
      <w:autoSpaceDN w:val="0"/>
      <w:adjustRightInd w:val="0"/>
      <w:snapToGrid w:val="0"/>
      <w:spacing w:before="60" w:line="324" w:lineRule="auto"/>
      <w:ind w:firstLine="567"/>
      <w:textAlignment w:val="baseline"/>
    </w:pPr>
    <w:rPr>
      <w:kern w:val="0"/>
      <w:sz w:val="28"/>
      <w:szCs w:val="20"/>
    </w:rPr>
  </w:style>
  <w:style w:type="paragraph" w:styleId="7">
    <w:name w:val="toc 1"/>
    <w:basedOn w:val="1"/>
    <w:next w:val="1"/>
    <w:unhideWhenUsed/>
    <w:qFormat/>
    <w:uiPriority w:val="39"/>
    <w:pPr>
      <w:tabs>
        <w:tab w:val="right" w:leader="dot" w:pos="8296"/>
      </w:tabs>
      <w:ind w:firstLine="0" w:firstLineChars="0"/>
      <w:jc w:val="center"/>
    </w:pPr>
    <w:rPr>
      <w:rFonts w:eastAsia="仿宋_GB2312"/>
      <w:b/>
      <w:sz w:val="28"/>
      <w:szCs w:val="22"/>
    </w:rPr>
  </w:style>
  <w:style w:type="paragraph" w:styleId="8">
    <w:name w:val="annotation text"/>
    <w:basedOn w:val="1"/>
    <w:qFormat/>
    <w:uiPriority w:val="0"/>
    <w:pPr>
      <w:jc w:val="left"/>
    </w:pPr>
  </w:style>
  <w:style w:type="paragraph" w:styleId="9">
    <w:name w:val="Body Text"/>
    <w:basedOn w:val="1"/>
    <w:semiHidden/>
    <w:qFormat/>
    <w:uiPriority w:val="0"/>
    <w:rPr>
      <w:rFonts w:ascii="Arial" w:hAnsi="Arial" w:eastAsia="Arial" w:cs="Arial"/>
      <w:sz w:val="21"/>
      <w:szCs w:val="21"/>
      <w:lang w:val="en-US" w:eastAsia="en-US" w:bidi="ar-SA"/>
    </w:rPr>
  </w:style>
  <w:style w:type="paragraph" w:styleId="10">
    <w:name w:val="toc 3"/>
    <w:basedOn w:val="1"/>
    <w:next w:val="1"/>
    <w:qFormat/>
    <w:uiPriority w:val="0"/>
    <w:pPr>
      <w:ind w:left="840" w:leftChars="400"/>
    </w:pPr>
  </w:style>
  <w:style w:type="paragraph" w:styleId="11">
    <w:name w:val="Plain Text"/>
    <w:basedOn w:val="1"/>
    <w:qFormat/>
    <w:uiPriority w:val="0"/>
    <w:rPr>
      <w:rFonts w:ascii="宋体" w:hAnsi="Courier New"/>
    </w:rPr>
  </w:style>
  <w:style w:type="paragraph" w:styleId="12">
    <w:name w:val="footer"/>
    <w:basedOn w:val="1"/>
    <w:qFormat/>
    <w:uiPriority w:val="99"/>
    <w:pPr>
      <w:tabs>
        <w:tab w:val="center" w:pos="4153"/>
        <w:tab w:val="right" w:pos="8306"/>
      </w:tabs>
      <w:snapToGrid w:val="0"/>
      <w:jc w:val="left"/>
    </w:pPr>
    <w:rPr>
      <w:sz w:val="18"/>
    </w:rPr>
  </w:style>
  <w:style w:type="paragraph" w:styleId="13">
    <w:name w:val="header"/>
    <w:basedOn w:val="1"/>
    <w:next w:val="12"/>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2"/>
    <w:basedOn w:val="1"/>
    <w:next w:val="1"/>
    <w:qFormat/>
    <w:uiPriority w:val="0"/>
    <w:pPr>
      <w:ind w:left="420" w:leftChars="200"/>
    </w:pPr>
  </w:style>
  <w:style w:type="table" w:styleId="16">
    <w:name w:val="Table Grid"/>
    <w:basedOn w:val="1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
    <w:name w:val="Table Normal"/>
    <w:semiHidden/>
    <w:unhideWhenUsed/>
    <w:qFormat/>
    <w:uiPriority w:val="0"/>
    <w:tblPr>
      <w:tblCellMar>
        <w:top w:w="0" w:type="dxa"/>
        <w:left w:w="0" w:type="dxa"/>
        <w:bottom w:w="0" w:type="dxa"/>
        <w:right w:w="0" w:type="dxa"/>
      </w:tblCellMar>
    </w:tblPr>
  </w:style>
  <w:style w:type="paragraph" w:customStyle="1" w:styleId="19">
    <w:name w:val="Table Text"/>
    <w:basedOn w:val="1"/>
    <w:semiHidden/>
    <w:qFormat/>
    <w:uiPriority w:val="0"/>
    <w:rPr>
      <w:rFonts w:ascii="微软雅黑" w:hAnsi="微软雅黑" w:eastAsia="微软雅黑" w:cs="微软雅黑"/>
      <w:sz w:val="23"/>
      <w:szCs w:val="23"/>
      <w:lang w:val="en-US" w:eastAsia="en-US" w:bidi="ar-SA"/>
    </w:rPr>
  </w:style>
  <w:style w:type="paragraph" w:customStyle="1" w:styleId="20">
    <w:name w:val="标题一"/>
    <w:basedOn w:val="1"/>
    <w:qFormat/>
    <w:uiPriority w:val="0"/>
    <w:pPr>
      <w:spacing w:before="100" w:beforeLines="100" w:after="100" w:afterLines="100" w:line="360" w:lineRule="auto"/>
      <w:ind w:left="0"/>
      <w:outlineLvl w:val="0"/>
    </w:pPr>
    <w:rPr>
      <w:rFonts w:hint="eastAsia" w:ascii="仿宋" w:hAnsi="仿宋" w:eastAsia="仿宋" w:cs="仿宋"/>
      <w:b/>
      <w:bCs/>
      <w:spacing w:val="-4"/>
      <w:sz w:val="30"/>
      <w:szCs w:val="30"/>
    </w:rPr>
  </w:style>
  <w:style w:type="paragraph" w:customStyle="1" w:styleId="21">
    <w:name w:val="标题二"/>
    <w:basedOn w:val="1"/>
    <w:qFormat/>
    <w:uiPriority w:val="0"/>
    <w:pPr>
      <w:spacing w:before="50" w:beforeLines="50" w:line="360" w:lineRule="auto"/>
      <w:outlineLvl w:val="0"/>
    </w:pPr>
    <w:rPr>
      <w:rFonts w:hint="eastAsia" w:ascii="仿宋" w:hAnsi="仿宋" w:eastAsia="仿宋" w:cs="仿宋"/>
      <w:b/>
      <w:bCs/>
      <w:spacing w:val="-4"/>
      <w:sz w:val="30"/>
      <w:szCs w:val="30"/>
    </w:rPr>
  </w:style>
  <w:style w:type="paragraph" w:customStyle="1" w:styleId="22">
    <w:name w:val="正文立青"/>
    <w:basedOn w:val="1"/>
    <w:qFormat/>
    <w:uiPriority w:val="0"/>
    <w:pPr>
      <w:spacing w:line="360" w:lineRule="auto"/>
      <w:ind w:left="0" w:right="0" w:firstLine="592" w:firstLineChars="200"/>
      <w:jc w:val="both"/>
    </w:pPr>
    <w:rPr>
      <w:rFonts w:hint="eastAsia" w:ascii="Times New Roman" w:hAnsi="Times New Roman" w:eastAsia="仿宋" w:cs="仿宋"/>
      <w:spacing w:val="6"/>
      <w:sz w:val="28"/>
      <w:szCs w:val="28"/>
    </w:rPr>
  </w:style>
  <w:style w:type="paragraph" w:customStyle="1" w:styleId="23">
    <w:name w:val="标题三"/>
    <w:basedOn w:val="1"/>
    <w:qFormat/>
    <w:uiPriority w:val="0"/>
    <w:pPr>
      <w:spacing w:line="360" w:lineRule="auto"/>
      <w:ind w:left="0"/>
    </w:pPr>
    <w:rPr>
      <w:rFonts w:hint="eastAsia" w:ascii="仿宋" w:hAnsi="仿宋" w:eastAsia="仿宋" w:cs="仿宋"/>
      <w:b/>
      <w:bCs/>
      <w:spacing w:val="-7"/>
      <w:sz w:val="28"/>
      <w:szCs w:val="28"/>
    </w:rPr>
  </w:style>
  <w:style w:type="character" w:customStyle="1" w:styleId="24">
    <w:name w:val="font21"/>
    <w:basedOn w:val="17"/>
    <w:qFormat/>
    <w:uiPriority w:val="0"/>
    <w:rPr>
      <w:rFonts w:hint="eastAsia" w:ascii="微软雅黑" w:hAnsi="微软雅黑" w:eastAsia="微软雅黑" w:cs="微软雅黑"/>
      <w:color w:val="000000"/>
      <w:sz w:val="22"/>
      <w:szCs w:val="22"/>
      <w:u w:val="none"/>
    </w:rPr>
  </w:style>
  <w:style w:type="character" w:customStyle="1" w:styleId="25">
    <w:name w:val="font31"/>
    <w:basedOn w:val="17"/>
    <w:qFormat/>
    <w:uiPriority w:val="0"/>
    <w:rPr>
      <w:rFonts w:ascii="Arial" w:hAnsi="Arial" w:cs="Arial"/>
      <w:color w:val="000000"/>
      <w:sz w:val="22"/>
      <w:szCs w:val="22"/>
      <w:u w:val="none"/>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5" Type="http://schemas.openxmlformats.org/officeDocument/2006/relationships/fontTable" Target="fontTable.xml"/><Relationship Id="rId84" Type="http://schemas.openxmlformats.org/officeDocument/2006/relationships/numbering" Target="numbering.xml"/><Relationship Id="rId83" Type="http://schemas.openxmlformats.org/officeDocument/2006/relationships/customXml" Target="../customXml/item1.xml"/><Relationship Id="rId82" Type="http://schemas.openxmlformats.org/officeDocument/2006/relationships/image" Target="media/image66.png"/><Relationship Id="rId81" Type="http://schemas.openxmlformats.org/officeDocument/2006/relationships/image" Target="media/image65.png"/><Relationship Id="rId80" Type="http://schemas.openxmlformats.org/officeDocument/2006/relationships/image" Target="media/image64.png"/><Relationship Id="rId8" Type="http://schemas.openxmlformats.org/officeDocument/2006/relationships/header" Target="header3.xml"/><Relationship Id="rId79" Type="http://schemas.openxmlformats.org/officeDocument/2006/relationships/image" Target="media/image63.png"/><Relationship Id="rId78" Type="http://schemas.openxmlformats.org/officeDocument/2006/relationships/image" Target="media/image62.png"/><Relationship Id="rId77" Type="http://schemas.openxmlformats.org/officeDocument/2006/relationships/image" Target="media/image61.png"/><Relationship Id="rId76" Type="http://schemas.openxmlformats.org/officeDocument/2006/relationships/image" Target="media/image60.png"/><Relationship Id="rId75" Type="http://schemas.openxmlformats.org/officeDocument/2006/relationships/image" Target="media/image59.png"/><Relationship Id="rId74" Type="http://schemas.openxmlformats.org/officeDocument/2006/relationships/image" Target="media/image58.png"/><Relationship Id="rId73" Type="http://schemas.openxmlformats.org/officeDocument/2006/relationships/image" Target="media/image57.png"/><Relationship Id="rId72" Type="http://schemas.openxmlformats.org/officeDocument/2006/relationships/image" Target="media/image56.png"/><Relationship Id="rId71" Type="http://schemas.openxmlformats.org/officeDocument/2006/relationships/image" Target="media/image55.png"/><Relationship Id="rId70" Type="http://schemas.openxmlformats.org/officeDocument/2006/relationships/image" Target="media/image54.png"/><Relationship Id="rId7" Type="http://schemas.openxmlformats.org/officeDocument/2006/relationships/footer" Target="footer1.xml"/><Relationship Id="rId69" Type="http://schemas.openxmlformats.org/officeDocument/2006/relationships/image" Target="media/image53.png"/><Relationship Id="rId68" Type="http://schemas.openxmlformats.org/officeDocument/2006/relationships/image" Target="media/image52.png"/><Relationship Id="rId67" Type="http://schemas.openxmlformats.org/officeDocument/2006/relationships/image" Target="media/image51.png"/><Relationship Id="rId66" Type="http://schemas.openxmlformats.org/officeDocument/2006/relationships/image" Target="media/image50.png"/><Relationship Id="rId65" Type="http://schemas.openxmlformats.org/officeDocument/2006/relationships/image" Target="media/image49.png"/><Relationship Id="rId64" Type="http://schemas.openxmlformats.org/officeDocument/2006/relationships/image" Target="media/image48.png"/><Relationship Id="rId63" Type="http://schemas.openxmlformats.org/officeDocument/2006/relationships/image" Target="media/image47.png"/><Relationship Id="rId62" Type="http://schemas.openxmlformats.org/officeDocument/2006/relationships/image" Target="media/image46.png"/><Relationship Id="rId61" Type="http://schemas.openxmlformats.org/officeDocument/2006/relationships/image" Target="media/image45.png"/><Relationship Id="rId60" Type="http://schemas.openxmlformats.org/officeDocument/2006/relationships/image" Target="media/image44.png"/><Relationship Id="rId6" Type="http://schemas.openxmlformats.org/officeDocument/2006/relationships/header" Target="header2.xml"/><Relationship Id="rId59" Type="http://schemas.openxmlformats.org/officeDocument/2006/relationships/image" Target="media/image43.png"/><Relationship Id="rId58" Type="http://schemas.openxmlformats.org/officeDocument/2006/relationships/image" Target="media/image42.png"/><Relationship Id="rId57" Type="http://schemas.openxmlformats.org/officeDocument/2006/relationships/image" Target="media/image41.png"/><Relationship Id="rId56" Type="http://schemas.openxmlformats.org/officeDocument/2006/relationships/image" Target="media/image40.png"/><Relationship Id="rId55" Type="http://schemas.openxmlformats.org/officeDocument/2006/relationships/image" Target="media/image39.png"/><Relationship Id="rId54" Type="http://schemas.openxmlformats.org/officeDocument/2006/relationships/image" Target="media/image38.png"/><Relationship Id="rId53" Type="http://schemas.openxmlformats.org/officeDocument/2006/relationships/image" Target="media/image37.png"/><Relationship Id="rId52" Type="http://schemas.openxmlformats.org/officeDocument/2006/relationships/image" Target="media/image36.png"/><Relationship Id="rId51" Type="http://schemas.openxmlformats.org/officeDocument/2006/relationships/image" Target="media/image35.png"/><Relationship Id="rId50" Type="http://schemas.openxmlformats.org/officeDocument/2006/relationships/image" Target="media/image34.png"/><Relationship Id="rId5" Type="http://schemas.openxmlformats.org/officeDocument/2006/relationships/header" Target="header1.xml"/><Relationship Id="rId49" Type="http://schemas.openxmlformats.org/officeDocument/2006/relationships/image" Target="media/image33.png"/><Relationship Id="rId48" Type="http://schemas.openxmlformats.org/officeDocument/2006/relationships/image" Target="media/image32.png"/><Relationship Id="rId47" Type="http://schemas.openxmlformats.org/officeDocument/2006/relationships/image" Target="media/image31.png"/><Relationship Id="rId46" Type="http://schemas.openxmlformats.org/officeDocument/2006/relationships/image" Target="media/image30.png"/><Relationship Id="rId45" Type="http://schemas.openxmlformats.org/officeDocument/2006/relationships/image" Target="media/image29.png"/><Relationship Id="rId44" Type="http://schemas.openxmlformats.org/officeDocument/2006/relationships/image" Target="media/image28.png"/><Relationship Id="rId43" Type="http://schemas.openxmlformats.org/officeDocument/2006/relationships/image" Target="media/image27.png"/><Relationship Id="rId42" Type="http://schemas.openxmlformats.org/officeDocument/2006/relationships/image" Target="media/image26.png"/><Relationship Id="rId41" Type="http://schemas.openxmlformats.org/officeDocument/2006/relationships/image" Target="media/image25.png"/><Relationship Id="rId40" Type="http://schemas.openxmlformats.org/officeDocument/2006/relationships/image" Target="media/image24.png"/><Relationship Id="rId4" Type="http://schemas.openxmlformats.org/officeDocument/2006/relationships/endnotes" Target="endnotes.xml"/><Relationship Id="rId39" Type="http://schemas.openxmlformats.org/officeDocument/2006/relationships/image" Target="media/image23.png"/><Relationship Id="rId38" Type="http://schemas.openxmlformats.org/officeDocument/2006/relationships/image" Target="media/image22.png"/><Relationship Id="rId37" Type="http://schemas.openxmlformats.org/officeDocument/2006/relationships/image" Target="media/image21.png"/><Relationship Id="rId36" Type="http://schemas.openxmlformats.org/officeDocument/2006/relationships/image" Target="media/image20.png"/><Relationship Id="rId35" Type="http://schemas.openxmlformats.org/officeDocument/2006/relationships/image" Target="media/image19.png"/><Relationship Id="rId34" Type="http://schemas.openxmlformats.org/officeDocument/2006/relationships/image" Target="media/image18.png"/><Relationship Id="rId33" Type="http://schemas.openxmlformats.org/officeDocument/2006/relationships/image" Target="media/image17.png"/><Relationship Id="rId32" Type="http://schemas.openxmlformats.org/officeDocument/2006/relationships/image" Target="media/image16.png"/><Relationship Id="rId31" Type="http://schemas.openxmlformats.org/officeDocument/2006/relationships/image" Target="media/image15.png"/><Relationship Id="rId30" Type="http://schemas.openxmlformats.org/officeDocument/2006/relationships/image" Target="media/image14.png"/><Relationship Id="rId3" Type="http://schemas.openxmlformats.org/officeDocument/2006/relationships/footnotes" Target="footnotes.xml"/><Relationship Id="rId29" Type="http://schemas.openxmlformats.org/officeDocument/2006/relationships/image" Target="media/image13.png"/><Relationship Id="rId28" Type="http://schemas.openxmlformats.org/officeDocument/2006/relationships/image" Target="media/image12.png"/><Relationship Id="rId27" Type="http://schemas.openxmlformats.org/officeDocument/2006/relationships/image" Target="media/image11.png"/><Relationship Id="rId26" Type="http://schemas.openxmlformats.org/officeDocument/2006/relationships/image" Target="media/image10.png"/><Relationship Id="rId25" Type="http://schemas.openxmlformats.org/officeDocument/2006/relationships/image" Target="media/image9.png"/><Relationship Id="rId24" Type="http://schemas.openxmlformats.org/officeDocument/2006/relationships/image" Target="media/image8.png"/><Relationship Id="rId23" Type="http://schemas.openxmlformats.org/officeDocument/2006/relationships/image" Target="media/image7.png"/><Relationship Id="rId22" Type="http://schemas.openxmlformats.org/officeDocument/2006/relationships/image" Target="media/image6.png"/><Relationship Id="rId21" Type="http://schemas.openxmlformats.org/officeDocument/2006/relationships/image" Target="media/image5.png"/><Relationship Id="rId20" Type="http://schemas.openxmlformats.org/officeDocument/2006/relationships/image" Target="media/image4.png"/><Relationship Id="rId2" Type="http://schemas.openxmlformats.org/officeDocument/2006/relationships/settings" Target="settings.xml"/><Relationship Id="rId19" Type="http://schemas.openxmlformats.org/officeDocument/2006/relationships/image" Target="media/image3.png"/><Relationship Id="rId18" Type="http://schemas.openxmlformats.org/officeDocument/2006/relationships/image" Target="media/image2.png"/><Relationship Id="rId17" Type="http://schemas.openxmlformats.org/officeDocument/2006/relationships/image" Target="media/image1.png"/><Relationship Id="rId16" Type="http://schemas.openxmlformats.org/officeDocument/2006/relationships/theme" Target="theme/theme1.xml"/><Relationship Id="rId15" Type="http://schemas.openxmlformats.org/officeDocument/2006/relationships/footer" Target="footer6.xml"/><Relationship Id="rId14" Type="http://schemas.openxmlformats.org/officeDocument/2006/relationships/header" Target="header5.xml"/><Relationship Id="rId13" Type="http://schemas.openxmlformats.org/officeDocument/2006/relationships/footer" Target="footer5.xml"/><Relationship Id="rId12" Type="http://schemas.openxmlformats.org/officeDocument/2006/relationships/header" Target="header4.xml"/><Relationship Id="rId11" Type="http://schemas.openxmlformats.org/officeDocument/2006/relationships/footer" Target="footer4.xml"/><Relationship Id="rId10" Type="http://schemas.openxmlformats.org/officeDocument/2006/relationships/footer" Target="footer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108</Pages>
  <Words>8005</Words>
  <Characters>8826</Characters>
  <TotalTime>0</TotalTime>
  <ScaleCrop>false</ScaleCrop>
  <LinksUpToDate>false</LinksUpToDate>
  <CharactersWithSpaces>9176</CharactersWithSpaces>
  <Application>WPS Office_12.1.0.26895_F1E327BC-269C-435d-A152-05C5408002CA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2023-04-21T11:14:00Z</dcterms:created>
  <dc:creator>Administrator</dc:creator>
  <cp:lastModifiedBy>李晓朋</cp:lastModifiedBy>
  <dcterms:modified xsi:type="dcterms:W3CDTF">2026-07-01T07:22:00Z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wqlLaW5nc29mdCBQREYgdG8gV1BTIDEyMA</vt:lpwstr>
  </property>
  <property fmtid="{D5CDD505-2E9C-101B-9397-08002B2CF9AE}" pid="3" name="Created">
    <vt:filetime>2026-06-09T17:02:19Z</vt:filetime>
  </property>
  <property fmtid="{D5CDD505-2E9C-101B-9397-08002B2CF9AE}" pid="4" name="KSOTemplateDocerSaveRecord">
    <vt:lpwstr>eyJoZGlkIjoiMGQ3MWY1NmZlNGZiNWI4NDgzZjFjMDVhZGJmZjNhZTIiLCJ1c2VySWQiOiIxMTI4OTQwMjY4In0=</vt:lpwstr>
  </property>
  <property fmtid="{D5CDD505-2E9C-101B-9397-08002B2CF9AE}" pid="5" name="KSOProductBuildVer">
    <vt:lpwstr>2052-12.1.0.26895</vt:lpwstr>
  </property>
  <property fmtid="{D5CDD505-2E9C-101B-9397-08002B2CF9AE}" pid="6" name="ICV">
    <vt:lpwstr>1285E6CDEFF2412FBC4B95E50CBD6A72_12</vt:lpwstr>
  </property>
</Properties>
</file>